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385E6">
      <w:pPr>
        <w:pStyle w:val="31"/>
        <w:spacing w:line="400" w:lineRule="exact"/>
        <w:ind w:firstLine="640" w:firstLineChars="200"/>
        <w:jc w:val="center"/>
        <w:rPr>
          <w:rFonts w:hint="default" w:eastAsia="黑体"/>
          <w:b/>
          <w:color w:val="000000"/>
          <w:sz w:val="32"/>
          <w:szCs w:val="32"/>
          <w:lang w:val="en-US" w:eastAsia="zh-CN"/>
        </w:rPr>
      </w:pPr>
      <w:r>
        <w:rPr>
          <w:rFonts w:hint="eastAsia" w:eastAsia="黑体"/>
          <w:b/>
          <w:color w:val="000000"/>
          <w:sz w:val="32"/>
          <w:szCs w:val="32"/>
        </w:rPr>
        <w:t>电子科技大学中山学院成人高等教育本科生毕业论文(设计)撰写规范（</w:t>
      </w:r>
      <w:r>
        <w:rPr>
          <w:rFonts w:hint="eastAsia" w:eastAsia="黑体"/>
          <w:b/>
          <w:color w:val="000000"/>
          <w:sz w:val="32"/>
          <w:szCs w:val="32"/>
          <w:lang w:eastAsia="zh-CN"/>
        </w:rPr>
        <w:t>试行</w:t>
      </w:r>
      <w:r>
        <w:rPr>
          <w:rFonts w:hint="eastAsia" w:eastAsia="黑体"/>
          <w:b/>
          <w:color w:val="000000"/>
          <w:sz w:val="32"/>
          <w:szCs w:val="32"/>
        </w:rPr>
        <w:t>）</w:t>
      </w:r>
    </w:p>
    <w:p w14:paraId="63D3C792">
      <w:pPr>
        <w:pStyle w:val="31"/>
        <w:spacing w:beforeLines="50"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sz w:val="24"/>
          <w:szCs w:val="24"/>
          <w:lang w:bidi="en-US"/>
        </w:rPr>
        <w:t>为了规范我校成人高等教育本科学生撰写毕业论文(设计)的内容和格式，保证毕业论文(设计)的质量，特制定《电子科技大学中山学院成人高等教育本科生毕业论文(设计)</w:t>
      </w:r>
      <w:r>
        <w:rPr>
          <w:rFonts w:hint="eastAsia" w:cs="Times New Roman" w:asciiTheme="minorEastAsia" w:hAnsiTheme="minorEastAsia"/>
          <w:color w:val="000000"/>
          <w:sz w:val="24"/>
          <w:szCs w:val="24"/>
          <w:lang w:bidi="en-US"/>
        </w:rPr>
        <w:t>撰写规范》</w:t>
      </w:r>
      <w:bookmarkStart w:id="48" w:name="_GoBack"/>
      <w:bookmarkEnd w:id="48"/>
      <w:r>
        <w:rPr>
          <w:rFonts w:hint="eastAsia" w:cs="Times New Roman" w:asciiTheme="minorEastAsia" w:hAnsiTheme="minorEastAsia"/>
          <w:color w:val="000000"/>
          <w:sz w:val="24"/>
          <w:szCs w:val="24"/>
          <w:lang w:bidi="en-US"/>
        </w:rPr>
        <w:t>。</w:t>
      </w:r>
    </w:p>
    <w:p w14:paraId="1FB325E9">
      <w:pPr>
        <w:pStyle w:val="31"/>
        <w:spacing w:line="400" w:lineRule="exact"/>
        <w:ind w:firstLine="480" w:firstLineChars="200"/>
        <w:jc w:val="left"/>
        <w:rPr>
          <w:rFonts w:ascii="黑体" w:hAnsi="黑体" w:eastAsia="黑体" w:cs="Times New Roman"/>
          <w:color w:val="000000"/>
          <w:sz w:val="24"/>
          <w:szCs w:val="24"/>
          <w:lang w:bidi="en-US"/>
        </w:rPr>
      </w:pPr>
      <w:r>
        <w:rPr>
          <w:rFonts w:hint="eastAsia" w:ascii="黑体" w:hAnsi="黑体" w:eastAsia="黑体" w:cs="Times New Roman"/>
          <w:color w:val="000000"/>
          <w:sz w:val="24"/>
          <w:szCs w:val="24"/>
          <w:lang w:bidi="en-US"/>
        </w:rPr>
        <w:t>一、毕业论文(设计)撰写的内容与要求</w:t>
      </w:r>
    </w:p>
    <w:p w14:paraId="3721F55F">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一份完整的毕业论文(设计)通常应包括封面、中英文摘要及关键词、目录、正文、结束语、谢辞、参考文献等部分。</w:t>
      </w:r>
    </w:p>
    <w:p w14:paraId="0B27AFE2">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论文封面：封面由学校统一制作，封面中题目是以最恰当、最简明的词语反映论文中最重要的特定内容的逻辑组合。题目既要准确地描述内容，又要尽可能地精练，一般不宜超过20个字。题目应该避免使用不常见的缩略词、字符、代号和公式等。题目语意未尽，可用副标题补充说明。</w:t>
      </w:r>
    </w:p>
    <w:p w14:paraId="281A903F">
      <w:pPr>
        <w:pStyle w:val="31"/>
        <w:spacing w:line="400" w:lineRule="exact"/>
        <w:ind w:firstLine="480" w:firstLineChars="200"/>
        <w:jc w:val="left"/>
        <w:rPr>
          <w:rFonts w:cs="Times New Roman" w:asciiTheme="minorEastAsia" w:hAnsiTheme="minorEastAsia"/>
          <w:sz w:val="24"/>
          <w:szCs w:val="24"/>
          <w:lang w:bidi="en-US"/>
        </w:rPr>
      </w:pPr>
      <w:r>
        <w:rPr>
          <w:rFonts w:hint="eastAsia" w:cs="Times New Roman" w:asciiTheme="minorEastAsia" w:hAnsiTheme="minorEastAsia"/>
          <w:color w:val="000000"/>
          <w:sz w:val="24"/>
          <w:szCs w:val="24"/>
          <w:lang w:bidi="en-US"/>
        </w:rPr>
        <w:t>2．中英文摘要及关键词：摘要又称内容提要，分为中文摘要和英文摘要，一般以300-500字为宜。它应以浓缩的形式概括研究课</w:t>
      </w:r>
      <w:r>
        <w:rPr>
          <w:rFonts w:hint="eastAsia" w:cs="Times New Roman" w:asciiTheme="minorEastAsia" w:hAnsiTheme="minorEastAsia"/>
          <w:sz w:val="24"/>
          <w:szCs w:val="24"/>
          <w:lang w:bidi="en-US"/>
        </w:rPr>
        <w:t>题的内容、方法和观点，以及取得的成果和结论，应能反映整个内容的精华，具有自含性和独立性；语言力求精炼、准确。摘要后列出作者认为有利于检索和文献利用的关键词3至5个，另起一行置于摘要下方。</w:t>
      </w:r>
    </w:p>
    <w:p w14:paraId="1E4DF69A">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sz w:val="24"/>
          <w:szCs w:val="24"/>
          <w:lang w:bidi="en-US"/>
        </w:rPr>
        <w:t>英文摘要内容与中文摘要对应，英语摘要用词应准确，使用本学科通用的词汇；摘要中主语常常省略，因而一般使用被动语态；</w:t>
      </w:r>
      <w:r>
        <w:rPr>
          <w:rFonts w:hint="eastAsia" w:cs="Times New Roman" w:asciiTheme="minorEastAsia" w:hAnsiTheme="minorEastAsia"/>
          <w:color w:val="000000"/>
          <w:sz w:val="24"/>
          <w:szCs w:val="24"/>
          <w:lang w:bidi="en-US"/>
        </w:rPr>
        <w:t>应使用正确的时态，并要注意主、谓语的一致，必要的冠词不能省略。英文摘要及关键词字数：以反映中文摘要内容为限，力求精练。</w:t>
      </w:r>
    </w:p>
    <w:p w14:paraId="38F91E8B">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3.目录：目录是论文的提纲，一般显示到三级标题，并标注页码，要求标题层次清晰。目录中标题应与正文中标题一致。</w:t>
      </w:r>
    </w:p>
    <w:p w14:paraId="587DE986">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4.正文：正文是作者对研究工作的详细表述，是毕业论文(设计)的主体，应真实全面地反映毕业论文(设计)的工作量、工作水平和取得的成果，言之有理，论据可靠，实事求是，合乎逻辑，层次分明，简练可读。章节标题应简明扼要，体现阐述内容的重点，内容之间有严密的逻辑论证关系。</w:t>
      </w:r>
    </w:p>
    <w:p w14:paraId="1B9949DE">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5.结束语：结束语包括对整个研究工作进行归纳和综合而得出的总结，以及所得结果与已有结果的比较、本课题尚存在的问题、进一步开展研究的见解与建议。结束语应该</w:t>
      </w:r>
      <w:r>
        <w:rPr>
          <w:rFonts w:cs="Times New Roman" w:asciiTheme="minorEastAsia" w:hAnsiTheme="minorEastAsia"/>
          <w:color w:val="000000"/>
          <w:sz w:val="24"/>
          <w:szCs w:val="24"/>
          <w:lang w:bidi="en-US"/>
        </w:rPr>
        <w:t>准确、完整、明确、精练</w:t>
      </w:r>
      <w:r>
        <w:rPr>
          <w:rFonts w:hint="eastAsia" w:cs="Times New Roman" w:asciiTheme="minorEastAsia" w:hAnsiTheme="minorEastAsia"/>
          <w:color w:val="000000"/>
          <w:sz w:val="24"/>
          <w:szCs w:val="24"/>
          <w:lang w:bidi="en-US"/>
        </w:rPr>
        <w:t>。</w:t>
      </w:r>
    </w:p>
    <w:p w14:paraId="4B92E920">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6.谢辞：谢辞应以简短的文字对课题研究与论文撰写过程中曾直接给予帮助的人员(例如指导教师、答疑教师及其他人员)表示自已的谢意，这不仅是一种礼貌，也是对他人劳动的尊重，是治学者应有的思想作风。内容要简洁明了、实事求是；语言要诚恳、恰当、简短；切忌浮夸之词。</w:t>
      </w:r>
    </w:p>
    <w:p w14:paraId="6050A249">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7.参考文献：参考文献是作者撰写论文或论著而引用的有关期刊论文和图书资料等。引用他人的成果必须标明参考文献出处。参考文献限于毕业生亲自阅读、毕业论文中明确引用、公开发表者（如必须引用未公开发表者可在正文中以文字说明）。参考文献全部列于文后，按正文中先后引用的顺序编号，并在正文引用处右上角注明参考文献序号。</w:t>
      </w:r>
    </w:p>
    <w:p w14:paraId="15BF74E5">
      <w:pPr>
        <w:pStyle w:val="31"/>
        <w:spacing w:line="400" w:lineRule="exact"/>
        <w:ind w:firstLine="480" w:firstLineChars="200"/>
        <w:jc w:val="left"/>
        <w:rPr>
          <w:rFonts w:cs="Times New Roman" w:asciiTheme="minorEastAsia" w:hAnsiTheme="minorEastAsia"/>
          <w:color w:val="000000"/>
          <w:sz w:val="24"/>
          <w:szCs w:val="24"/>
          <w:lang w:val="zh-TW" w:bidi="en-US"/>
        </w:rPr>
      </w:pPr>
      <w:r>
        <w:rPr>
          <w:rFonts w:hint="eastAsia" w:cs="Times New Roman" w:asciiTheme="minorEastAsia" w:hAnsiTheme="minorEastAsia"/>
          <w:color w:val="000000"/>
          <w:sz w:val="24"/>
          <w:szCs w:val="24"/>
          <w:lang w:bidi="en-US"/>
        </w:rPr>
        <w:t>8.附录：</w:t>
      </w:r>
      <w:r>
        <w:rPr>
          <w:rFonts w:hint="eastAsia" w:cs="Times New Roman" w:asciiTheme="minorEastAsia" w:hAnsiTheme="minorEastAsia"/>
          <w:color w:val="000000"/>
          <w:sz w:val="24"/>
          <w:szCs w:val="24"/>
          <w:lang w:val="zh-TW" w:eastAsia="zh-TW" w:bidi="en-US"/>
        </w:rPr>
        <w:t>附录作为主体部分的补充，并不是必需的。</w:t>
      </w:r>
      <w:r>
        <w:rPr>
          <w:rFonts w:hint="eastAsia" w:cs="Times New Roman" w:asciiTheme="minorEastAsia" w:hAnsiTheme="minorEastAsia"/>
          <w:color w:val="000000"/>
          <w:sz w:val="24"/>
          <w:szCs w:val="24"/>
          <w:lang w:bidi="en-US"/>
        </w:rPr>
        <w:t>如</w:t>
      </w:r>
      <w:r>
        <w:rPr>
          <w:rFonts w:hint="eastAsia" w:cs="Times New Roman" w:asciiTheme="minorEastAsia" w:hAnsiTheme="minorEastAsia"/>
          <w:color w:val="000000"/>
          <w:sz w:val="24"/>
          <w:szCs w:val="24"/>
          <w:lang w:val="zh-TW" w:eastAsia="zh-TW" w:bidi="en-US"/>
        </w:rPr>
        <w:t>某些重要的原始数据、数学推导、结构图、统计表、计算机打印输出件等</w:t>
      </w:r>
      <w:r>
        <w:rPr>
          <w:rFonts w:hint="eastAsia" w:cs="Times New Roman" w:asciiTheme="minorEastAsia" w:hAnsiTheme="minorEastAsia"/>
          <w:color w:val="000000"/>
          <w:sz w:val="24"/>
          <w:szCs w:val="24"/>
          <w:lang w:val="zh-TW" w:bidi="en-US"/>
        </w:rPr>
        <w:t>。</w:t>
      </w:r>
    </w:p>
    <w:p w14:paraId="0607797B">
      <w:pPr>
        <w:pStyle w:val="3"/>
        <w:spacing w:before="0" w:after="0" w:line="400" w:lineRule="exact"/>
        <w:jc w:val="left"/>
        <w:rPr>
          <w:rFonts w:ascii="黑体" w:hAnsi="黑体"/>
          <w:sz w:val="24"/>
          <w:szCs w:val="24"/>
        </w:rPr>
      </w:pPr>
      <w:r>
        <w:rPr>
          <w:rFonts w:hint="eastAsia" w:ascii="黑体" w:hAnsi="黑体"/>
          <w:sz w:val="24"/>
          <w:szCs w:val="24"/>
        </w:rPr>
        <w:t>二、毕业论文(设计)格式要求</w:t>
      </w:r>
    </w:p>
    <w:p w14:paraId="5F29A80C">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1.</w:t>
      </w:r>
      <w:r>
        <w:rPr>
          <w:rFonts w:hint="eastAsia" w:cs="Times New Roman" w:asciiTheme="minorEastAsia" w:hAnsiTheme="minorEastAsia"/>
          <w:color w:val="000000"/>
          <w:sz w:val="24"/>
          <w:szCs w:val="24"/>
          <w:lang w:val="zh-TW" w:eastAsia="zh-TW" w:bidi="en-US"/>
        </w:rPr>
        <w:t>论文封面：论文题目</w:t>
      </w:r>
      <w:r>
        <w:rPr>
          <w:rFonts w:hint="eastAsia" w:cs="Times New Roman" w:asciiTheme="minorEastAsia" w:hAnsiTheme="minorEastAsia"/>
          <w:color w:val="000000"/>
          <w:sz w:val="24"/>
          <w:szCs w:val="24"/>
          <w:lang w:val="zh-TW" w:bidi="en-US"/>
        </w:rPr>
        <w:t>字体为</w:t>
      </w:r>
      <w:r>
        <w:rPr>
          <w:rFonts w:hint="eastAsia" w:cs="Times New Roman" w:asciiTheme="minorEastAsia" w:hAnsiTheme="minorEastAsia"/>
          <w:color w:val="000000"/>
          <w:sz w:val="24"/>
          <w:szCs w:val="24"/>
          <w:lang w:val="zh-TW" w:eastAsia="zh-TW" w:bidi="en-US"/>
        </w:rPr>
        <w:t>华文中宋</w:t>
      </w:r>
      <w:r>
        <w:rPr>
          <w:rFonts w:hint="eastAsia" w:cs="Times New Roman" w:asciiTheme="minorEastAsia" w:hAnsiTheme="minorEastAsia"/>
          <w:color w:val="000000"/>
          <w:sz w:val="24"/>
          <w:szCs w:val="24"/>
          <w:lang w:val="zh-TW" w:bidi="en-US"/>
        </w:rPr>
        <w:t>小三号</w:t>
      </w:r>
      <w:r>
        <w:rPr>
          <w:rFonts w:hint="eastAsia" w:cs="Times New Roman" w:asciiTheme="minorEastAsia" w:hAnsiTheme="minorEastAsia"/>
          <w:sz w:val="24"/>
          <w:szCs w:val="24"/>
          <w:lang w:val="zh-TW" w:eastAsia="zh-TW" w:bidi="en-US"/>
        </w:rPr>
        <w:t>，</w:t>
      </w:r>
      <w:r>
        <w:rPr>
          <w:rFonts w:hint="eastAsia" w:cs="Times New Roman" w:asciiTheme="minorEastAsia" w:hAnsiTheme="minorEastAsia"/>
          <w:sz w:val="24"/>
          <w:szCs w:val="24"/>
          <w:lang w:val="zh-TW" w:bidi="en-US"/>
        </w:rPr>
        <w:t>教学单位字</w:t>
      </w:r>
      <w:r>
        <w:rPr>
          <w:rFonts w:hint="eastAsia" w:cs="Times New Roman" w:asciiTheme="minorEastAsia" w:hAnsiTheme="minorEastAsia"/>
          <w:color w:val="000000"/>
          <w:sz w:val="24"/>
          <w:szCs w:val="24"/>
          <w:lang w:val="zh-TW" w:bidi="en-US"/>
        </w:rPr>
        <w:t>体为</w:t>
      </w:r>
      <w:r>
        <w:rPr>
          <w:rFonts w:hint="eastAsia" w:cs="Times New Roman" w:asciiTheme="minorEastAsia" w:hAnsiTheme="minorEastAsia"/>
          <w:color w:val="000000"/>
          <w:sz w:val="24"/>
          <w:szCs w:val="24"/>
          <w:lang w:val="zh-TW" w:eastAsia="zh-TW" w:bidi="en-US"/>
        </w:rPr>
        <w:t>华文中宋</w:t>
      </w:r>
      <w:r>
        <w:rPr>
          <w:rFonts w:hint="eastAsia" w:cs="Times New Roman" w:asciiTheme="minorEastAsia" w:hAnsiTheme="minorEastAsia"/>
          <w:color w:val="000000"/>
          <w:sz w:val="24"/>
          <w:szCs w:val="24"/>
          <w:lang w:val="zh-TW" w:bidi="en-US"/>
        </w:rPr>
        <w:t>小三号，</w:t>
      </w:r>
      <w:r>
        <w:rPr>
          <w:rFonts w:hint="eastAsia" w:cs="Times New Roman" w:asciiTheme="minorEastAsia" w:hAnsiTheme="minorEastAsia"/>
          <w:color w:val="000000"/>
          <w:sz w:val="24"/>
          <w:szCs w:val="24"/>
          <w:lang w:val="zh-TW" w:eastAsia="zh-TW" w:bidi="en-US"/>
        </w:rPr>
        <w:t>指导</w:t>
      </w:r>
      <w:r>
        <w:rPr>
          <w:rFonts w:hint="eastAsia" w:cs="Times New Roman" w:asciiTheme="minorEastAsia" w:hAnsiTheme="minorEastAsia"/>
          <w:sz w:val="24"/>
          <w:szCs w:val="24"/>
          <w:lang w:val="zh-TW" w:bidi="en-US"/>
        </w:rPr>
        <w:t>教</w:t>
      </w:r>
      <w:r>
        <w:rPr>
          <w:rFonts w:hint="eastAsia" w:cs="Times New Roman" w:asciiTheme="minorEastAsia" w:hAnsiTheme="minorEastAsia"/>
          <w:sz w:val="24"/>
          <w:szCs w:val="24"/>
          <w:lang w:val="zh-TW" w:eastAsia="zh-TW" w:bidi="en-US"/>
        </w:rPr>
        <w:t>师</w:t>
      </w:r>
      <w:r>
        <w:rPr>
          <w:rFonts w:hint="eastAsia" w:cs="Times New Roman" w:asciiTheme="minorEastAsia" w:hAnsiTheme="minorEastAsia"/>
          <w:color w:val="000000"/>
          <w:sz w:val="24"/>
          <w:szCs w:val="24"/>
          <w:lang w:val="zh-TW" w:eastAsia="zh-TW" w:bidi="en-US"/>
        </w:rPr>
        <w:t>、</w:t>
      </w:r>
      <w:r>
        <w:rPr>
          <w:rFonts w:hint="eastAsia" w:cs="Times New Roman" w:asciiTheme="minorEastAsia" w:hAnsiTheme="minorEastAsia"/>
          <w:color w:val="000000"/>
          <w:sz w:val="24"/>
          <w:szCs w:val="24"/>
          <w:lang w:bidi="en-US"/>
        </w:rPr>
        <w:t>职称、学生姓名、专业字体为华文中宋小三号加粗，学号字体为华文中宋四号</w:t>
      </w:r>
      <w:r>
        <w:rPr>
          <w:rFonts w:hint="eastAsia" w:cs="Times New Roman" w:asciiTheme="minorEastAsia" w:hAnsiTheme="minorEastAsia"/>
          <w:color w:val="000000"/>
          <w:sz w:val="24"/>
          <w:szCs w:val="24"/>
          <w:lang w:val="zh-TW" w:eastAsia="zh-TW" w:bidi="en-US"/>
        </w:rPr>
        <w:t>。</w:t>
      </w:r>
    </w:p>
    <w:p w14:paraId="6400BA60">
      <w:pPr>
        <w:pStyle w:val="31"/>
        <w:spacing w:line="400" w:lineRule="exact"/>
        <w:ind w:firstLine="480" w:firstLineChars="200"/>
        <w:jc w:val="left"/>
        <w:rPr>
          <w:rFonts w:cs="Times New Roman" w:asciiTheme="minorEastAsia" w:hAnsiTheme="minorEastAsia"/>
          <w:color w:val="000000"/>
          <w:sz w:val="24"/>
          <w:szCs w:val="24"/>
          <w:lang w:val="zh-TW" w:bidi="en-US"/>
        </w:rPr>
      </w:pPr>
      <w:r>
        <w:rPr>
          <w:rFonts w:hint="eastAsia" w:cs="Times New Roman" w:asciiTheme="minorEastAsia" w:hAnsiTheme="minorEastAsia"/>
          <w:color w:val="000000"/>
          <w:sz w:val="24"/>
          <w:szCs w:val="24"/>
          <w:lang w:bidi="en-US"/>
        </w:rPr>
        <w:t>2.</w:t>
      </w:r>
      <w:r>
        <w:rPr>
          <w:rFonts w:hint="eastAsia" w:cs="Times New Roman" w:asciiTheme="minorEastAsia" w:hAnsiTheme="minorEastAsia"/>
          <w:color w:val="000000"/>
          <w:sz w:val="24"/>
          <w:szCs w:val="24"/>
          <w:lang w:val="zh-TW" w:eastAsia="zh-TW" w:bidi="en-US"/>
        </w:rPr>
        <w:t>中文摘要：“摘要”</w:t>
      </w:r>
      <w:r>
        <w:rPr>
          <w:rFonts w:hint="eastAsia" w:cs="Times New Roman" w:asciiTheme="minorEastAsia" w:hAnsiTheme="minorEastAsia"/>
          <w:color w:val="000000"/>
          <w:sz w:val="24"/>
          <w:szCs w:val="24"/>
          <w:lang w:val="zh-TW" w:bidi="en-US"/>
        </w:rPr>
        <w:t>二</w:t>
      </w:r>
      <w:r>
        <w:rPr>
          <w:rFonts w:hint="eastAsia" w:cs="Times New Roman" w:asciiTheme="minorEastAsia" w:hAnsiTheme="minorEastAsia"/>
          <w:color w:val="000000"/>
          <w:sz w:val="24"/>
          <w:szCs w:val="24"/>
          <w:lang w:val="zh-TW" w:eastAsia="zh-TW" w:bidi="en-US"/>
        </w:rPr>
        <w:t>字间空一个汉字空格或2个半角空格，黑体，小三号，大纲级别1级，居中无缩进，段前24磅，段后18磅，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w:t>
      </w:r>
      <w:r>
        <w:rPr>
          <w:rFonts w:hint="eastAsia" w:cs="Times New Roman" w:asciiTheme="minorEastAsia" w:hAnsiTheme="minorEastAsia"/>
          <w:color w:val="000000"/>
          <w:sz w:val="24"/>
          <w:szCs w:val="24"/>
          <w:lang w:val="zh-TW" w:bidi="en-US"/>
        </w:rPr>
        <w:t>。</w:t>
      </w:r>
    </w:p>
    <w:p w14:paraId="17C86BA9">
      <w:pPr>
        <w:pStyle w:val="31"/>
        <w:spacing w:line="400" w:lineRule="exact"/>
        <w:ind w:firstLine="480" w:firstLineChars="200"/>
        <w:jc w:val="left"/>
        <w:rPr>
          <w:rFonts w:cs="Times New Roman" w:asciiTheme="minorEastAsia" w:hAnsiTheme="minorEastAsia"/>
          <w:sz w:val="24"/>
          <w:szCs w:val="24"/>
          <w:lang w:val="zh-TW" w:eastAsia="zh-TW" w:bidi="en-US"/>
        </w:rPr>
      </w:pPr>
      <w:r>
        <w:rPr>
          <w:rFonts w:hint="eastAsia" w:cs="Times New Roman" w:asciiTheme="minorEastAsia" w:hAnsiTheme="minorEastAsia"/>
          <w:color w:val="000000"/>
          <w:sz w:val="24"/>
          <w:szCs w:val="24"/>
          <w:lang w:val="zh-TW" w:eastAsia="zh-TW" w:bidi="en-US"/>
        </w:rPr>
        <w:t>摘要内容中文字体为宋体，西文字体为Times New Roman，小四号，两端对齐，首行缩进2字符，段前0</w:t>
      </w:r>
      <w:r>
        <w:rPr>
          <w:rFonts w:hint="eastAsia" w:cs="Times New Roman" w:asciiTheme="minorEastAsia" w:hAnsiTheme="minorEastAsia"/>
          <w:sz w:val="24"/>
          <w:szCs w:val="24"/>
          <w:lang w:val="zh-TW" w:eastAsia="zh-TW" w:bidi="en-US"/>
        </w:rPr>
        <w:t>行，段后0行，行距固定值20磅。</w:t>
      </w:r>
    </w:p>
    <w:p w14:paraId="025C3E28">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sz w:val="24"/>
          <w:szCs w:val="24"/>
          <w:lang w:val="zh-TW" w:eastAsia="zh-TW" w:bidi="en-US"/>
        </w:rPr>
        <w:t>“关键词” ：宋体小四加粗，其后关键词中文字体为宋体，西文字体为Times New Roman，小四号，两端对齐，悬挂缩进4字符，段前0行，段后0行，固定值20磅。每一关键词之间用全角</w:t>
      </w:r>
      <w:r>
        <w:rPr>
          <w:rFonts w:hint="eastAsia" w:cs="Times New Roman" w:asciiTheme="minorEastAsia" w:hAnsiTheme="minorEastAsia"/>
          <w:sz w:val="24"/>
          <w:szCs w:val="24"/>
          <w:lang w:val="zh-TW" w:bidi="en-US"/>
        </w:rPr>
        <w:t>分</w:t>
      </w:r>
      <w:r>
        <w:rPr>
          <w:rFonts w:hint="eastAsia" w:cs="Times New Roman" w:asciiTheme="minorEastAsia" w:hAnsiTheme="minorEastAsia"/>
          <w:sz w:val="24"/>
          <w:szCs w:val="24"/>
          <w:lang w:val="zh-TW" w:eastAsia="zh-TW" w:bidi="en-US"/>
        </w:rPr>
        <w:t>号隔开(</w:t>
      </w:r>
      <w:r>
        <w:rPr>
          <w:rFonts w:hint="eastAsia" w:cs="Times New Roman" w:asciiTheme="minorEastAsia" w:hAnsiTheme="minorEastAsia"/>
          <w:sz w:val="24"/>
          <w:szCs w:val="24"/>
          <w:lang w:val="zh-TW" w:bidi="en-US"/>
        </w:rPr>
        <w:t>；</w:t>
      </w:r>
      <w:r>
        <w:rPr>
          <w:rFonts w:hint="eastAsia" w:cs="Times New Roman" w:asciiTheme="minorEastAsia" w:hAnsiTheme="minorEastAsia"/>
          <w:sz w:val="24"/>
          <w:szCs w:val="24"/>
          <w:lang w:val="zh-TW" w:eastAsia="zh-TW" w:bidi="en-US"/>
        </w:rPr>
        <w:t>)</w:t>
      </w:r>
      <w:r>
        <w:rPr>
          <w:rFonts w:hint="eastAsia" w:cs="Times New Roman" w:asciiTheme="minorEastAsia" w:hAnsiTheme="minorEastAsia"/>
          <w:color w:val="000000"/>
          <w:sz w:val="24"/>
          <w:szCs w:val="24"/>
          <w:lang w:val="zh-TW" w:eastAsia="zh-TW" w:bidi="en-US"/>
        </w:rPr>
        <w:t>最后一个关键词后不打标点符号。关键词前空一空白行。</w:t>
      </w:r>
    </w:p>
    <w:p w14:paraId="20EF9A4B">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eastAsia="zh-TW" w:bidi="en-US"/>
        </w:rPr>
        <w:t>3.英</w:t>
      </w:r>
      <w:r>
        <w:rPr>
          <w:rFonts w:hint="eastAsia" w:cs="Times New Roman" w:asciiTheme="minorEastAsia" w:hAnsiTheme="minorEastAsia"/>
          <w:color w:val="000000"/>
          <w:sz w:val="24"/>
          <w:szCs w:val="24"/>
          <w:lang w:val="zh-TW" w:eastAsia="zh-TW" w:bidi="en-US"/>
        </w:rPr>
        <w:t>文摘要：“</w:t>
      </w:r>
      <w:r>
        <w:rPr>
          <w:rFonts w:asciiTheme="minorEastAsia" w:hAnsiTheme="minorEastAsia"/>
          <w:kern w:val="44"/>
          <w:sz w:val="24"/>
          <w:szCs w:val="24"/>
          <w:lang w:eastAsia="zh-TW"/>
        </w:rPr>
        <w:t>ABSTRAC</w:t>
      </w:r>
      <w:r>
        <w:rPr>
          <w:rFonts w:hint="eastAsia" w:asciiTheme="minorEastAsia" w:hAnsiTheme="minorEastAsia"/>
          <w:kern w:val="44"/>
          <w:sz w:val="24"/>
          <w:szCs w:val="24"/>
          <w:lang w:eastAsia="zh-TW"/>
        </w:rPr>
        <w:t>T</w:t>
      </w:r>
      <w:r>
        <w:rPr>
          <w:rFonts w:hint="eastAsia" w:cs="Times New Roman" w:asciiTheme="minorEastAsia" w:hAnsiTheme="minorEastAsia"/>
          <w:color w:val="000000"/>
          <w:sz w:val="24"/>
          <w:szCs w:val="24"/>
          <w:lang w:val="zh-TW" w:eastAsia="zh-TW" w:bidi="en-US"/>
        </w:rPr>
        <w:t>”标题Times New Roman，小三号，大纲级别1级，居中无缩进，段前24磅，段后18磅，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w:t>
      </w:r>
    </w:p>
    <w:p w14:paraId="47A9CD52">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eastAsia="zh-TW" w:bidi="en-US"/>
        </w:rPr>
        <w:t>外文</w:t>
      </w:r>
      <w:r>
        <w:rPr>
          <w:rFonts w:hint="eastAsia" w:cs="Times New Roman" w:asciiTheme="minorEastAsia" w:hAnsiTheme="minorEastAsia"/>
          <w:color w:val="000000"/>
          <w:sz w:val="24"/>
          <w:szCs w:val="24"/>
          <w:lang w:val="zh-TW" w:eastAsia="zh-TW" w:bidi="en-US"/>
        </w:rPr>
        <w:t>摘要内容为Times New Roman，小四号，两端对齐，首行缩进2字符，段前0行，段后0行，</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固定值20磅。段落中的英文标点符号后面应该有一个半角空格。</w:t>
      </w:r>
    </w:p>
    <w:p w14:paraId="2D8E04FD">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“Keywords:”Times New Roman，小四号，加粗，其后关键词为Times New Roman，小四号，两端对齐，悬挂缩进4.9字符，段前0行，段后0行，</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固定值20磅。每一关键词之间用半角</w:t>
      </w:r>
      <w:r>
        <w:rPr>
          <w:rFonts w:hint="eastAsia" w:cs="Times New Roman" w:asciiTheme="minorEastAsia" w:hAnsiTheme="minorEastAsia"/>
          <w:sz w:val="24"/>
          <w:szCs w:val="24"/>
          <w:lang w:val="zh-TW" w:bidi="en-US"/>
        </w:rPr>
        <w:t>分</w:t>
      </w:r>
      <w:r>
        <w:rPr>
          <w:rFonts w:hint="eastAsia" w:cs="Times New Roman" w:asciiTheme="minorEastAsia" w:hAnsiTheme="minorEastAsia"/>
          <w:sz w:val="24"/>
          <w:szCs w:val="24"/>
          <w:lang w:val="zh-TW" w:eastAsia="zh-TW" w:bidi="en-US"/>
        </w:rPr>
        <w:t>号分开（</w:t>
      </w:r>
      <w:r>
        <w:rPr>
          <w:rFonts w:hint="eastAsia" w:cs="Times New Roman" w:asciiTheme="minorEastAsia" w:hAnsiTheme="minorEastAsia"/>
          <w:sz w:val="24"/>
          <w:szCs w:val="24"/>
          <w:lang w:val="zh-TW" w:bidi="en-US"/>
        </w:rPr>
        <w:t>;</w:t>
      </w:r>
      <w:r>
        <w:rPr>
          <w:rFonts w:hint="eastAsia" w:cs="Times New Roman" w:asciiTheme="minorEastAsia" w:hAnsiTheme="minorEastAsia"/>
          <w:sz w:val="24"/>
          <w:szCs w:val="24"/>
          <w:lang w:val="zh-TW" w:eastAsia="zh-TW" w:bidi="en-US"/>
        </w:rPr>
        <w:t>）</w:t>
      </w:r>
      <w:r>
        <w:rPr>
          <w:rFonts w:hint="eastAsia" w:cs="Times New Roman" w:asciiTheme="minorEastAsia" w:hAnsiTheme="minorEastAsia"/>
          <w:color w:val="000000"/>
          <w:sz w:val="24"/>
          <w:szCs w:val="24"/>
          <w:lang w:val="zh-TW" w:eastAsia="zh-TW" w:bidi="en-US"/>
        </w:rPr>
        <w:t>最后一个关键词后不打标点符号。Keywords前空一空白行。</w:t>
      </w:r>
    </w:p>
    <w:p w14:paraId="6D0B22B4">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4.</w:t>
      </w:r>
      <w:r>
        <w:rPr>
          <w:rFonts w:hint="eastAsia" w:cs="Times New Roman" w:asciiTheme="minorEastAsia" w:hAnsiTheme="minorEastAsia"/>
          <w:color w:val="000000"/>
          <w:sz w:val="24"/>
          <w:szCs w:val="24"/>
          <w:lang w:val="zh-TW" w:eastAsia="zh-TW" w:bidi="en-US"/>
        </w:rPr>
        <w:t>论文目录：“目录”二字中间空一个汉字空格或2个半角空格，黑体，小三号，居中无缩进，段前24磅，段后18磅，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固定值20磅。目录项显示到3级，小四号，两端对齐，段前0磅，段后0</w:t>
      </w:r>
      <w:r>
        <w:rPr>
          <w:rFonts w:hint="eastAsia" w:cs="Times New Roman" w:asciiTheme="minorEastAsia" w:hAnsiTheme="minorEastAsia"/>
          <w:sz w:val="24"/>
          <w:szCs w:val="24"/>
          <w:lang w:val="zh-TW" w:eastAsia="zh-TW" w:bidi="en-US"/>
        </w:rPr>
        <w:t>磅，</w:t>
      </w:r>
      <w:r>
        <w:rPr>
          <w:rFonts w:hint="eastAsia" w:cs="Times New Roman" w:asciiTheme="minorEastAsia" w:hAnsiTheme="minorEastAsia"/>
          <w:sz w:val="24"/>
          <w:szCs w:val="24"/>
          <w:lang w:val="zh-TW" w:bidi="en-US"/>
        </w:rPr>
        <w:t>行距</w:t>
      </w:r>
      <w:r>
        <w:rPr>
          <w:rFonts w:hint="eastAsia" w:cs="Times New Roman" w:asciiTheme="minorEastAsia" w:hAnsiTheme="minorEastAsia"/>
          <w:color w:val="000000"/>
          <w:sz w:val="24"/>
          <w:szCs w:val="24"/>
          <w:lang w:val="zh-TW" w:eastAsia="zh-TW" w:bidi="en-US"/>
        </w:rPr>
        <w:t>固定值20磅。</w:t>
      </w:r>
    </w:p>
    <w:p w14:paraId="677E2A68">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一级目录项：中文字体为黑体，西文字体为Times New Roman，无缩进，左缩进0字符，右缩进0字符。</w:t>
      </w:r>
    </w:p>
    <w:p w14:paraId="12C903A5">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二级目录项：中文字体为宋体，西文字体为Times New Roman，无缩进，左缩进2字符，右缩进0字符。</w:t>
      </w:r>
    </w:p>
    <w:p w14:paraId="03465BF3">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三级目录项：中文字体为宋体，西文字体为Times New Roman，无缩进，左缩进4字符，右缩进0字符。</w:t>
      </w:r>
    </w:p>
    <w:p w14:paraId="3F13096C">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注意保持页码右对齐，有前导符，正文修改后注意刷新目录保持一致。</w:t>
      </w:r>
    </w:p>
    <w:p w14:paraId="52211CD9">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5.正文：中文字体为宋体，西文字体为</w:t>
      </w:r>
      <w:r>
        <w:rPr>
          <w:rFonts w:cs="Times New Roman" w:asciiTheme="minorEastAsia" w:hAnsiTheme="minorEastAsia"/>
          <w:color w:val="000000"/>
          <w:sz w:val="24"/>
          <w:szCs w:val="24"/>
          <w:lang w:val="zh-TW" w:eastAsia="zh-TW" w:bidi="en-US"/>
        </w:rPr>
        <w:t>Times New Roman</w:t>
      </w:r>
      <w:r>
        <w:rPr>
          <w:rFonts w:hint="eastAsia" w:cs="Times New Roman" w:asciiTheme="minorEastAsia" w:hAnsiTheme="minorEastAsia"/>
          <w:color w:val="000000"/>
          <w:sz w:val="24"/>
          <w:szCs w:val="24"/>
          <w:lang w:val="zh-TW" w:eastAsia="zh-TW" w:bidi="en-US"/>
        </w:rPr>
        <w:t>，小四号，两端对齐，首行缩进2字符，段前0行，段后0行，行距固定值20磅。正文中注意不要出现大片空白。</w:t>
      </w:r>
    </w:p>
    <w:p w14:paraId="614CE346">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6.章、节标题：章节层次编排参考《</w:t>
      </w:r>
      <w:r>
        <w:rPr>
          <w:rFonts w:cs="Times New Roman" w:asciiTheme="minorEastAsia" w:hAnsiTheme="minorEastAsia"/>
          <w:color w:val="000000"/>
          <w:sz w:val="24"/>
          <w:szCs w:val="24"/>
          <w:lang w:val="zh-TW" w:eastAsia="zh-TW" w:bidi="en-US"/>
        </w:rPr>
        <w:t>CY／T 35-2001</w:t>
      </w:r>
      <w:r>
        <w:rPr>
          <w:rFonts w:hint="eastAsia" w:cs="Times New Roman" w:asciiTheme="minorEastAsia" w:hAnsiTheme="minorEastAsia"/>
          <w:color w:val="000000"/>
          <w:sz w:val="24"/>
          <w:szCs w:val="24"/>
          <w:lang w:val="zh-TW" w:eastAsia="zh-TW" w:bidi="en-US"/>
        </w:rPr>
        <w:t xml:space="preserve"> 科技文献的章节编号方法》，按第一章，1.2，1.2.1等逐级递推；各级标题不得置于页面的最后一行。</w:t>
      </w:r>
    </w:p>
    <w:p w14:paraId="39AC2746">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章标题中文字体为黑体，西文字体为</w:t>
      </w:r>
      <w:r>
        <w:rPr>
          <w:rFonts w:cs="Times New Roman" w:asciiTheme="minorEastAsia" w:hAnsiTheme="minorEastAsia"/>
          <w:color w:val="000000"/>
          <w:sz w:val="24"/>
          <w:szCs w:val="24"/>
          <w:lang w:val="zh-TW" w:eastAsia="zh-TW" w:bidi="en-US"/>
        </w:rPr>
        <w:t>Times New Roman</w:t>
      </w:r>
      <w:r>
        <w:rPr>
          <w:rFonts w:hint="eastAsia" w:cs="Times New Roman" w:asciiTheme="minorEastAsia" w:hAnsiTheme="minorEastAsia"/>
          <w:color w:val="000000"/>
          <w:sz w:val="24"/>
          <w:szCs w:val="24"/>
          <w:lang w:val="zh-TW" w:eastAsia="zh-TW" w:bidi="en-US"/>
        </w:rPr>
        <w:t>，小三号，大纲级别1级，居中无缩进，段前24磅，段后18磅，行距固定值20磅。题序与标题间空1格。每一章另起一页。</w:t>
      </w:r>
    </w:p>
    <w:p w14:paraId="6B7FC073">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二级标题中文字体为黑体，西文字体为Times New Roman，四号，大纲级别2级，两端对齐，无缩进，段前18磅，段后6磅，行距固定值20磅。题序与标题间空1格。若两个标题之间没有文字，第二个标题的段前距设置为0磅。</w:t>
      </w:r>
    </w:p>
    <w:p w14:paraId="05D95CA9">
      <w:pPr>
        <w:pStyle w:val="31"/>
        <w:spacing w:line="400" w:lineRule="exact"/>
        <w:ind w:firstLine="480" w:firstLineChars="200"/>
        <w:jc w:val="left"/>
        <w:rPr>
          <w:rFonts w:cs="Times New Roman" w:asciiTheme="minorEastAsia" w:hAnsiTheme="minorEastAsia"/>
          <w:color w:val="000000"/>
          <w:sz w:val="24"/>
          <w:szCs w:val="24"/>
          <w:lang w:val="zh-TW" w:bidi="en-US"/>
        </w:rPr>
      </w:pPr>
      <w:r>
        <w:rPr>
          <w:rFonts w:hint="eastAsia" w:cs="Times New Roman" w:asciiTheme="minorEastAsia" w:hAnsiTheme="minorEastAsia"/>
          <w:color w:val="000000"/>
          <w:sz w:val="24"/>
          <w:szCs w:val="24"/>
          <w:lang w:val="zh-TW" w:eastAsia="zh-TW" w:bidi="en-US"/>
        </w:rPr>
        <w:t>三级标题中文字体为黑体，西文字体为Times New Roman，四号，大纲级别3级，两端对齐，无缩进，段前12磅，段后6磅，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固定值20磅。题序与标题间空1格。若两个标题之间没有文字，第二个标题的段前距设置为0磅。</w:t>
      </w:r>
    </w:p>
    <w:p w14:paraId="0EDC9D30">
      <w:pPr>
        <w:pStyle w:val="31"/>
        <w:spacing w:line="400" w:lineRule="exact"/>
        <w:ind w:firstLine="480" w:firstLineChars="200"/>
        <w:jc w:val="left"/>
        <w:rPr>
          <w:rFonts w:cs="Times New Roman" w:asciiTheme="minorEastAsia" w:hAnsiTheme="minorEastAsia"/>
          <w:color w:val="000000"/>
          <w:sz w:val="24"/>
          <w:szCs w:val="24"/>
          <w:lang w:val="zh-TW" w:bidi="en-US"/>
        </w:rPr>
      </w:pPr>
      <w:r>
        <w:rPr>
          <w:rFonts w:hint="eastAsia" w:cs="Times New Roman" w:asciiTheme="minorEastAsia" w:hAnsiTheme="minorEastAsia"/>
          <w:color w:val="000000"/>
          <w:sz w:val="24"/>
          <w:szCs w:val="24"/>
          <w:lang w:val="zh-TW" w:eastAsia="zh-TW" w:bidi="en-US"/>
        </w:rPr>
        <w:t>四级标题中文字体为黑体，西文字体为Times New Roman，小四号，大纲级别4级，两端对齐，无缩进，段前12磅，段后6磅，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固定值20磅。题序与标题间空1格。若两个标题之间没有文字，第二个标题的段前距设置为0磅。</w:t>
      </w:r>
    </w:p>
    <w:p w14:paraId="619F2AA2">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7.</w:t>
      </w:r>
      <w:r>
        <w:rPr>
          <w:rFonts w:hint="eastAsia" w:cs="Times New Roman" w:asciiTheme="minorEastAsia" w:hAnsiTheme="minorEastAsia"/>
          <w:color w:val="000000"/>
          <w:sz w:val="24"/>
          <w:szCs w:val="24"/>
          <w:lang w:val="zh-TW" w:eastAsia="zh-TW" w:bidi="en-US"/>
        </w:rPr>
        <w:t>图：图应具有“自明性”，即只看图、图题和图例，就可理解图意。</w:t>
      </w:r>
    </w:p>
    <w:p w14:paraId="6135A72A">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图应分章编号，如图1-1。图宜有图题，图题即图的名称，置于图的编号之后。图的编号和图题应置于图下方</w:t>
      </w:r>
      <w:r>
        <w:rPr>
          <w:rFonts w:hint="eastAsia" w:cs="Times New Roman" w:asciiTheme="minorEastAsia" w:hAnsiTheme="minorEastAsia"/>
          <w:color w:val="000000"/>
          <w:sz w:val="24"/>
          <w:szCs w:val="24"/>
          <w:lang w:val="zh-TW" w:bidi="en-US"/>
        </w:rPr>
        <w:t>；</w:t>
      </w:r>
      <w:r>
        <w:rPr>
          <w:rFonts w:hint="eastAsia" w:cs="Times New Roman" w:asciiTheme="minorEastAsia" w:hAnsiTheme="minorEastAsia"/>
          <w:color w:val="000000"/>
          <w:sz w:val="24"/>
          <w:szCs w:val="24"/>
          <w:lang w:val="zh-TW" w:eastAsia="zh-TW" w:bidi="en-US"/>
        </w:rPr>
        <w:t>图</w:t>
      </w:r>
      <w:r>
        <w:rPr>
          <w:rFonts w:hint="eastAsia" w:cs="Times New Roman" w:asciiTheme="minorEastAsia" w:hAnsiTheme="minorEastAsia"/>
          <w:color w:val="000000"/>
          <w:sz w:val="24"/>
          <w:szCs w:val="24"/>
          <w:lang w:bidi="en-US"/>
        </w:rPr>
        <w:t>和图题</w:t>
      </w:r>
      <w:r>
        <w:rPr>
          <w:rFonts w:hint="eastAsia" w:cs="Times New Roman" w:asciiTheme="minorEastAsia" w:hAnsiTheme="minorEastAsia"/>
          <w:color w:val="000000"/>
          <w:sz w:val="24"/>
          <w:szCs w:val="24"/>
          <w:lang w:val="zh-TW" w:bidi="en-US"/>
        </w:rPr>
        <w:t>尽量不要</w:t>
      </w:r>
      <w:r>
        <w:rPr>
          <w:rFonts w:hint="eastAsia" w:cs="Times New Roman" w:asciiTheme="minorEastAsia" w:hAnsiTheme="minorEastAsia"/>
          <w:color w:val="000000"/>
          <w:sz w:val="24"/>
          <w:szCs w:val="24"/>
          <w:lang w:val="zh-TW" w:eastAsia="zh-TW" w:bidi="en-US"/>
        </w:rPr>
        <w:t>跨接两页。图题中文字体为宋体，西文字体为Times New Roman，五号，居中无缩进，段前6磅，段后12磅，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固定值20磅。图名在图号之后空一格排写</w:t>
      </w:r>
      <w:r>
        <w:rPr>
          <w:rFonts w:hint="eastAsia" w:cs="Times New Roman" w:asciiTheme="minorEastAsia" w:hAnsiTheme="minorEastAsia"/>
          <w:color w:val="000000"/>
          <w:sz w:val="24"/>
          <w:szCs w:val="24"/>
          <w:lang w:val="zh-TW" w:bidi="en-US"/>
        </w:rPr>
        <w:t>，</w:t>
      </w:r>
      <w:r>
        <w:rPr>
          <w:rFonts w:hint="eastAsia" w:cs="Times New Roman" w:asciiTheme="minorEastAsia" w:hAnsiTheme="minorEastAsia"/>
          <w:color w:val="000000"/>
          <w:sz w:val="24"/>
          <w:szCs w:val="24"/>
          <w:lang w:val="zh-TW" w:eastAsia="zh-TW" w:bidi="en-US"/>
        </w:rPr>
        <w:t>图名后不加标点。全文编号方式应统一。</w:t>
      </w:r>
    </w:p>
    <w:p w14:paraId="21AC9F4C">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可根据需要加图注（即图的注解和说明）。图注中文字体为宋体，西文字体为Times New Roman，小五号，两端对齐，首行缩进2字符，段前0行，段后0行，</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固定值20磅。一般排在图题下面。</w:t>
      </w:r>
    </w:p>
    <w:p w14:paraId="1167F7F2">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8.</w:t>
      </w:r>
      <w:r>
        <w:rPr>
          <w:rFonts w:hint="eastAsia" w:cs="Times New Roman" w:asciiTheme="minorEastAsia" w:hAnsiTheme="minorEastAsia"/>
          <w:color w:val="000000"/>
          <w:sz w:val="24"/>
          <w:szCs w:val="24"/>
          <w:lang w:val="zh-TW" w:eastAsia="zh-TW" w:bidi="en-US"/>
        </w:rPr>
        <w:t>表：表应具有“自明性”。表应分章编号，如表1-1</w:t>
      </w:r>
      <w:r>
        <w:rPr>
          <w:rFonts w:hint="eastAsia" w:cs="Times New Roman" w:asciiTheme="minorEastAsia" w:hAnsiTheme="minorEastAsia"/>
          <w:color w:val="000000"/>
          <w:sz w:val="24"/>
          <w:szCs w:val="24"/>
          <w:lang w:val="zh-TW" w:bidi="en-US"/>
        </w:rPr>
        <w:t>。</w:t>
      </w:r>
      <w:r>
        <w:rPr>
          <w:rFonts w:hint="eastAsia" w:cs="Times New Roman" w:asciiTheme="minorEastAsia" w:hAnsiTheme="minorEastAsia"/>
          <w:color w:val="000000"/>
          <w:sz w:val="24"/>
          <w:szCs w:val="24"/>
          <w:lang w:val="zh-TW" w:eastAsia="zh-TW" w:bidi="en-US"/>
        </w:rPr>
        <w:t>表</w:t>
      </w:r>
      <w:r>
        <w:rPr>
          <w:rFonts w:hint="eastAsia" w:cs="Times New Roman" w:asciiTheme="minorEastAsia" w:hAnsiTheme="minorEastAsia"/>
          <w:color w:val="000000"/>
          <w:sz w:val="24"/>
          <w:szCs w:val="24"/>
          <w:lang w:bidi="en-US"/>
        </w:rPr>
        <w:t>应</w:t>
      </w:r>
      <w:r>
        <w:rPr>
          <w:rFonts w:hint="eastAsia" w:cs="Times New Roman" w:asciiTheme="minorEastAsia" w:hAnsiTheme="minorEastAsia"/>
          <w:color w:val="000000"/>
          <w:sz w:val="24"/>
          <w:szCs w:val="24"/>
          <w:lang w:val="zh-TW" w:eastAsia="zh-TW" w:bidi="en-US"/>
        </w:rPr>
        <w:t>有表题，表题即表的名称，置于表的编号之后。表的编号和表题应置于表上方。</w:t>
      </w:r>
    </w:p>
    <w:p w14:paraId="7D6608F1">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如某个表需要转页接排，</w:t>
      </w:r>
      <w:r>
        <w:rPr>
          <w:rFonts w:hint="eastAsia" w:cs="Times New Roman" w:asciiTheme="minorEastAsia" w:hAnsiTheme="minorEastAsia"/>
          <w:color w:val="000000"/>
          <w:sz w:val="24"/>
          <w:szCs w:val="24"/>
          <w:lang w:bidi="en-US"/>
        </w:rPr>
        <w:t>在随后各页上应重复表的编号，</w:t>
      </w:r>
      <w:r>
        <w:rPr>
          <w:rFonts w:hint="eastAsia" w:cs="Times New Roman" w:asciiTheme="minorEastAsia" w:hAnsiTheme="minorEastAsia"/>
          <w:color w:val="000000"/>
          <w:sz w:val="24"/>
          <w:szCs w:val="24"/>
          <w:lang w:val="zh-TW" w:eastAsia="zh-TW" w:bidi="en-US"/>
        </w:rPr>
        <w:t>如“续表2-1 XXXX”</w:t>
      </w:r>
      <w:r>
        <w:rPr>
          <w:rFonts w:hint="eastAsia" w:cs="Times New Roman" w:asciiTheme="minorEastAsia" w:hAnsiTheme="minorEastAsia"/>
          <w:color w:val="000000"/>
          <w:sz w:val="24"/>
          <w:szCs w:val="24"/>
          <w:lang w:val="zh-TW" w:bidi="en-US"/>
        </w:rPr>
        <w:t>；</w:t>
      </w:r>
      <w:r>
        <w:rPr>
          <w:rFonts w:hint="eastAsia" w:cs="Times New Roman" w:asciiTheme="minorEastAsia" w:hAnsiTheme="minorEastAsia"/>
          <w:color w:val="000000"/>
          <w:sz w:val="24"/>
          <w:szCs w:val="24"/>
          <w:lang w:bidi="en-US"/>
        </w:rPr>
        <w:t>且</w:t>
      </w:r>
      <w:r>
        <w:rPr>
          <w:rFonts w:hint="eastAsia" w:cs="Times New Roman" w:asciiTheme="minorEastAsia" w:hAnsiTheme="minorEastAsia"/>
          <w:color w:val="000000"/>
          <w:sz w:val="24"/>
          <w:szCs w:val="24"/>
          <w:lang w:val="zh-TW" w:eastAsia="zh-TW" w:bidi="en-US"/>
        </w:rPr>
        <w:t>续表均应重复表头。全文编号方式应统一。</w:t>
      </w:r>
    </w:p>
    <w:p w14:paraId="6FD5467D">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表题用中文字体为宋体，西文字体为Times New Roman，五号，居中无缩进，段前12磅，段后6磅，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val="zh-TW" w:eastAsia="zh-TW" w:bidi="en-US"/>
        </w:rPr>
        <w:t>固定值20磅。表序与表名之间空一格，表名中不允许使用标点符号，表名后不加标点</w:t>
      </w:r>
      <w:r>
        <w:rPr>
          <w:rFonts w:hint="eastAsia" w:cs="Times New Roman" w:asciiTheme="minorEastAsia" w:hAnsiTheme="minorEastAsia"/>
          <w:color w:val="000000"/>
          <w:sz w:val="24"/>
          <w:szCs w:val="24"/>
          <w:lang w:bidi="en-US"/>
        </w:rPr>
        <w:t>。</w:t>
      </w:r>
    </w:p>
    <w:p w14:paraId="78FF7A05">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val="zh-TW" w:eastAsia="zh-TW" w:bidi="en-US"/>
        </w:rPr>
        <w:t>表中若有附注，附注写在表的下方，</w:t>
      </w:r>
      <w:r>
        <w:rPr>
          <w:rFonts w:hint="eastAsia" w:cs="Times New Roman" w:asciiTheme="minorEastAsia" w:hAnsiTheme="minorEastAsia"/>
          <w:color w:val="000000"/>
          <w:sz w:val="24"/>
          <w:szCs w:val="24"/>
          <w:lang w:eastAsia="zh-TW" w:bidi="en-US"/>
        </w:rPr>
        <w:t>格式为中文字体为宋体，西文字体为Times New Roman，小五号，两端对齐，首行缩进2字符，段前0行，段后0行，</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eastAsia="zh-TW" w:bidi="en-US"/>
        </w:rPr>
        <w:t>固定值20磅。</w:t>
      </w:r>
    </w:p>
    <w:p w14:paraId="0FA8B319">
      <w:pPr>
        <w:pStyle w:val="31"/>
        <w:spacing w:line="400" w:lineRule="exact"/>
        <w:ind w:firstLine="480" w:firstLineChars="200"/>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9.</w:t>
      </w:r>
      <w:r>
        <w:rPr>
          <w:rFonts w:hint="eastAsia" w:cs="Times New Roman" w:asciiTheme="minorEastAsia" w:hAnsiTheme="minorEastAsia"/>
          <w:color w:val="000000"/>
          <w:sz w:val="24"/>
          <w:szCs w:val="24"/>
          <w:lang w:val="zh-TW" w:eastAsia="zh-TW" w:bidi="en-US"/>
        </w:rPr>
        <w:t>公式：</w:t>
      </w:r>
      <w:r>
        <w:rPr>
          <w:rFonts w:hint="eastAsia" w:cs="Times New Roman" w:asciiTheme="minorEastAsia" w:hAnsiTheme="minorEastAsia"/>
          <w:color w:val="000000"/>
          <w:sz w:val="24"/>
          <w:szCs w:val="24"/>
          <w:lang w:bidi="en-US"/>
        </w:rPr>
        <w:t>公式序号应按章编号，如(2-1)、(2-2)</w:t>
      </w:r>
      <w:r>
        <w:rPr>
          <w:rFonts w:hint="eastAsia" w:cs="Times New Roman" w:asciiTheme="minorEastAsia" w:hAnsiTheme="minorEastAsia"/>
          <w:color w:val="000000"/>
          <w:sz w:val="24"/>
          <w:szCs w:val="24"/>
          <w:lang w:val="zh-TW" w:eastAsia="zh-TW" w:bidi="en-US"/>
        </w:rPr>
        <w:t>，公式编号右端对齐,与公式间以...连接。</w:t>
      </w:r>
      <w:r>
        <w:rPr>
          <w:rFonts w:hint="eastAsia" w:cs="Times New Roman" w:asciiTheme="minorEastAsia" w:hAnsiTheme="minorEastAsia"/>
          <w:color w:val="000000"/>
          <w:sz w:val="24"/>
          <w:szCs w:val="24"/>
          <w:lang w:bidi="en-US"/>
        </w:rPr>
        <w:t>公式位置可根据情况适当调整，以保证格式协调和美观。</w:t>
      </w:r>
      <w:r>
        <w:rPr>
          <w:rFonts w:hint="eastAsia" w:cs="Times New Roman" w:asciiTheme="minorEastAsia" w:hAnsiTheme="minorEastAsia"/>
          <w:color w:val="000000"/>
          <w:sz w:val="24"/>
          <w:szCs w:val="24"/>
          <w:lang w:val="zh-TW" w:eastAsia="zh-TW" w:bidi="en-US"/>
        </w:rPr>
        <w:t>包含公式的段落行间距可设置为最小值</w:t>
      </w:r>
      <w:r>
        <w:rPr>
          <w:rFonts w:hint="eastAsia" w:cs="Times New Roman" w:asciiTheme="minorEastAsia" w:hAnsiTheme="minorEastAsia"/>
          <w:color w:val="000000"/>
          <w:sz w:val="24"/>
          <w:szCs w:val="24"/>
          <w:lang w:bidi="en-US"/>
        </w:rPr>
        <w:t>20</w:t>
      </w:r>
      <w:r>
        <w:rPr>
          <w:rFonts w:hint="eastAsia" w:cs="Times New Roman" w:asciiTheme="minorEastAsia" w:hAnsiTheme="minorEastAsia"/>
          <w:color w:val="000000"/>
          <w:sz w:val="24"/>
          <w:szCs w:val="24"/>
          <w:lang w:val="zh-TW" w:eastAsia="zh-TW" w:bidi="en-US"/>
        </w:rPr>
        <w:t>磅，以保证公式完全显示。</w:t>
      </w:r>
    </w:p>
    <w:p w14:paraId="67003E5E">
      <w:pPr>
        <w:pStyle w:val="31"/>
        <w:spacing w:line="400" w:lineRule="exact"/>
        <w:ind w:firstLine="480" w:firstLineChars="200"/>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10.结束语：标题黑体，小三号，大纲级别1级，居中无缩进，段前24磅，段后18磅，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bidi="en-US"/>
        </w:rPr>
        <w:t>固定值20磅。结束语前面不加章编号。另起一页。结束语文本中文字体为宋体，西文字体为Times New Roman，小四号，两端对齐，首行缩进2字符，段前0行，段后0行，</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bidi="en-US"/>
        </w:rPr>
        <w:t>固定值20磅。</w:t>
      </w:r>
    </w:p>
    <w:p w14:paraId="349CDDF1">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11.谢辞：二字中间空一个汉字空格或2个半角空格，黑体小三号，居中无缩进，大纲级别1级，段前24磅，段后18磅，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bidi="en-US"/>
        </w:rPr>
        <w:t>固定值20磅。谢辞文本中文字体为宋体，西文字体为Times New Roman，小四号，两端对齐，首行缩进2字符，段前0行，段后0行，</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bidi="en-US"/>
        </w:rPr>
        <w:t>固定值20磅。</w:t>
      </w:r>
    </w:p>
    <w:p w14:paraId="1FBA4C90">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12.注释和参考文献：由于论文篇幅较长，注释采用脚注方式，在需要注释处标明序号，序号加圆圈放在加注处右上角，如</w:t>
      </w:r>
      <w:r>
        <w:rPr>
          <w:rFonts w:hint="eastAsia" w:cs="Times New Roman" w:asciiTheme="minorEastAsia" w:hAnsiTheme="minorEastAsia"/>
          <w:color w:val="000000"/>
          <w:sz w:val="24"/>
          <w:szCs w:val="24"/>
          <w:lang w:val="zh-TW" w:eastAsia="zh-TW" w:bidi="en-US"/>
        </w:rPr>
        <w:t>①</w:t>
      </w:r>
      <w:r>
        <w:rPr>
          <w:rFonts w:hint="eastAsia" w:cs="Times New Roman" w:asciiTheme="minorEastAsia" w:hAnsiTheme="minorEastAsia"/>
          <w:color w:val="000000"/>
          <w:sz w:val="24"/>
          <w:szCs w:val="24"/>
          <w:lang w:bidi="en-US"/>
        </w:rPr>
        <w:t>。脚注内容中文字体为宋体，西文字体为Times New Roman，小五号，左对齐，悬挂缩进1.5字符，段前0行，段后0行，单倍行距。</w:t>
      </w:r>
      <w:r>
        <w:rPr>
          <w:rFonts w:hint="eastAsia" w:cs="Times New Roman" w:asciiTheme="minorEastAsia" w:hAnsiTheme="minorEastAsia"/>
          <w:color w:val="000000"/>
          <w:sz w:val="24"/>
          <w:szCs w:val="24"/>
          <w:lang w:val="zh-TW" w:eastAsia="zh-TW" w:bidi="en-US"/>
        </w:rPr>
        <w:t>每页注释序号均从①开始，不与前页的注释连续编号。</w:t>
      </w:r>
    </w:p>
    <w:p w14:paraId="3E7AE147">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参考文献按文中使用的顺序列出，并注明文献的作者、题名、刊物（出版社）名称、出版时间、页码等。参考文献标题黑体小三号，居中无缩进，大纲级别1级，段前24磅，段后18磅，</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bidi="en-US"/>
        </w:rPr>
        <w:t>固定值20磅。参考文献文本中文字体为宋体，西文字体为Times New Roman，小四号，两端对齐，段前0行，段后0行，</w:t>
      </w:r>
      <w:r>
        <w:rPr>
          <w:rFonts w:hint="eastAsia" w:cs="Times New Roman" w:asciiTheme="minorEastAsia" w:hAnsiTheme="minorEastAsia"/>
          <w:sz w:val="24"/>
          <w:szCs w:val="24"/>
          <w:lang w:val="zh-TW" w:eastAsia="zh-TW" w:bidi="en-US"/>
        </w:rPr>
        <w:t>行距</w:t>
      </w:r>
      <w:r>
        <w:rPr>
          <w:rFonts w:hint="eastAsia" w:cs="Times New Roman" w:asciiTheme="minorEastAsia" w:hAnsiTheme="minorEastAsia"/>
          <w:color w:val="000000"/>
          <w:sz w:val="24"/>
          <w:szCs w:val="24"/>
          <w:lang w:bidi="en-US"/>
        </w:rPr>
        <w:t>固定值20磅。</w:t>
      </w:r>
    </w:p>
    <w:p w14:paraId="7E0238BB">
      <w:pPr>
        <w:pStyle w:val="31"/>
        <w:spacing w:line="400" w:lineRule="exact"/>
        <w:ind w:firstLine="480" w:firstLineChars="200"/>
        <w:jc w:val="left"/>
        <w:rPr>
          <w:rFonts w:cs="Times New Roman" w:asciiTheme="minorEastAsia" w:hAnsiTheme="minorEastAsia"/>
          <w:color w:val="000000"/>
          <w:sz w:val="24"/>
          <w:szCs w:val="24"/>
          <w:lang w:bidi="en-US"/>
        </w:rPr>
      </w:pPr>
      <w:bookmarkStart w:id="0" w:name="_Toc8308230"/>
      <w:bookmarkStart w:id="1" w:name="_Toc14267524"/>
      <w:bookmarkStart w:id="2" w:name="_Toc8307323"/>
      <w:bookmarkStart w:id="3" w:name="_Toc8300416"/>
      <w:r>
        <w:rPr>
          <w:rFonts w:hint="eastAsia" w:cs="Times New Roman" w:asciiTheme="minorEastAsia" w:hAnsiTheme="minorEastAsia"/>
          <w:color w:val="000000"/>
          <w:sz w:val="24"/>
          <w:szCs w:val="24"/>
          <w:lang w:bidi="en-US"/>
        </w:rPr>
        <w:t>参考文献著录项目和格式按《信息与文献参考文献著录规则》（GB/T 7714—2015）的规定执行，</w:t>
      </w:r>
      <w:bookmarkEnd w:id="0"/>
      <w:bookmarkEnd w:id="1"/>
      <w:bookmarkEnd w:id="2"/>
      <w:bookmarkEnd w:id="3"/>
      <w:r>
        <w:rPr>
          <w:rFonts w:hint="eastAsia" w:cs="Times New Roman" w:asciiTheme="minorEastAsia" w:hAnsiTheme="minorEastAsia"/>
          <w:color w:val="000000"/>
          <w:sz w:val="24"/>
          <w:szCs w:val="24"/>
          <w:lang w:bidi="en-US"/>
        </w:rPr>
        <w:t>几种主要类型参考文献示例如下：</w:t>
      </w:r>
    </w:p>
    <w:p w14:paraId="214F55B2">
      <w:pPr>
        <w:pStyle w:val="31"/>
        <w:spacing w:line="400" w:lineRule="exact"/>
        <w:ind w:firstLine="480" w:firstLineChars="200"/>
        <w:jc w:val="left"/>
        <w:rPr>
          <w:rFonts w:cs="Times New Roman" w:asciiTheme="minorEastAsia" w:hAnsiTheme="minorEastAsia"/>
          <w:color w:val="000000"/>
          <w:sz w:val="24"/>
          <w:szCs w:val="24"/>
          <w:lang w:bidi="en-US"/>
        </w:rPr>
      </w:pPr>
      <w:bookmarkStart w:id="4" w:name="_Toc8300417"/>
      <w:bookmarkStart w:id="5" w:name="_Toc14267525"/>
      <w:bookmarkStart w:id="6" w:name="_Toc8307324"/>
      <w:bookmarkStart w:id="7" w:name="_Toc8308231"/>
      <w:r>
        <w:rPr>
          <w:rFonts w:hint="eastAsia" w:cs="Times New Roman" w:asciiTheme="minorEastAsia" w:hAnsiTheme="minorEastAsia"/>
          <w:color w:val="000000"/>
          <w:sz w:val="24"/>
          <w:szCs w:val="24"/>
          <w:lang w:bidi="en-US"/>
        </w:rPr>
        <w:t>（一）专著（图书）[M</w:t>
      </w:r>
      <w:bookmarkEnd w:id="4"/>
      <w:bookmarkEnd w:id="5"/>
      <w:bookmarkEnd w:id="6"/>
      <w:bookmarkEnd w:id="7"/>
      <w:r>
        <w:rPr>
          <w:rFonts w:hint="eastAsia" w:cs="Times New Roman" w:asciiTheme="minorEastAsia" w:hAnsiTheme="minorEastAsia"/>
          <w:color w:val="000000"/>
          <w:sz w:val="24"/>
          <w:szCs w:val="24"/>
          <w:lang w:bidi="en-US"/>
        </w:rPr>
        <w:t>]：[序号]著者．题名：其他题名信息[M]．其他责任者．版本项．出版地：出版者，出版年：页码．</w:t>
      </w:r>
    </w:p>
    <w:p w14:paraId="71B3AAAD">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[1]曹凌．中国佛教疑伪经综录[M]．上海：上海古籍出版社，2011：19.</w:t>
      </w:r>
    </w:p>
    <w:p w14:paraId="4FD08235">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[2]钱学森．创建系统学[M]．太原：山西科学技术出版社，2001：序2-3．</w:t>
      </w:r>
    </w:p>
    <w:p w14:paraId="112A8A4F">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[3]冯友兰．冯友兰自选集[M]．2版．北京：北京大学出版社，2008：第1版自序．</w:t>
      </w:r>
    </w:p>
    <w:p w14:paraId="591583AC">
      <w:pPr>
        <w:pStyle w:val="31"/>
        <w:spacing w:line="400" w:lineRule="exact"/>
        <w:ind w:firstLine="480" w:firstLineChars="200"/>
        <w:jc w:val="left"/>
        <w:rPr>
          <w:rFonts w:cs="Times New Roman" w:asciiTheme="minorEastAsia" w:hAnsiTheme="minorEastAsia"/>
          <w:color w:val="000000"/>
          <w:sz w:val="24"/>
          <w:szCs w:val="24"/>
          <w:lang w:bidi="en-US"/>
        </w:rPr>
      </w:pPr>
      <w:bookmarkStart w:id="8" w:name="_Toc8300418"/>
      <w:bookmarkStart w:id="9" w:name="_Toc8307325"/>
      <w:bookmarkStart w:id="10" w:name="_Toc14267526"/>
      <w:bookmarkStart w:id="11" w:name="_Toc8308232"/>
      <w:r>
        <w:rPr>
          <w:rFonts w:hint="eastAsia" w:cs="Times New Roman" w:asciiTheme="minorEastAsia" w:hAnsiTheme="minorEastAsia"/>
          <w:color w:val="000000"/>
          <w:sz w:val="24"/>
          <w:szCs w:val="24"/>
          <w:lang w:bidi="en-US"/>
        </w:rPr>
        <w:t>（二）期刊论文[J</w:t>
      </w:r>
      <w:bookmarkEnd w:id="8"/>
      <w:bookmarkEnd w:id="9"/>
      <w:bookmarkEnd w:id="10"/>
      <w:bookmarkEnd w:id="11"/>
      <w:r>
        <w:rPr>
          <w:rFonts w:hint="eastAsia" w:cs="Times New Roman" w:asciiTheme="minorEastAsia" w:hAnsiTheme="minorEastAsia"/>
          <w:color w:val="000000"/>
          <w:sz w:val="24"/>
          <w:szCs w:val="24"/>
          <w:lang w:bidi="en-US"/>
        </w:rPr>
        <w:t>]：[序号]作者．文献名[J]．期刊名，年，卷（期）：页码．</w:t>
      </w:r>
    </w:p>
    <w:p w14:paraId="1CB58A44">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[1]李炳穆．韩国图书馆法[J]．图书情报工作，2008，56(2)：6-12．</w:t>
      </w:r>
    </w:p>
    <w:p w14:paraId="54E8CEBA">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[2]袁训来，陈哲，肖书海，等．蓝田生物群：一个认识多细胞生物起源和早期演化的新窗口[J]．科学通报，2012，55(34)：3219．</w:t>
      </w:r>
    </w:p>
    <w:p w14:paraId="293BDCE0">
      <w:pPr>
        <w:pStyle w:val="31"/>
        <w:spacing w:line="400" w:lineRule="exact"/>
        <w:ind w:firstLine="480" w:firstLineChars="200"/>
        <w:jc w:val="left"/>
        <w:rPr>
          <w:rFonts w:cs="Times New Roman" w:asciiTheme="minorEastAsia" w:hAnsiTheme="minorEastAsia"/>
          <w:color w:val="000000"/>
          <w:sz w:val="24"/>
          <w:szCs w:val="24"/>
          <w:lang w:bidi="en-US"/>
        </w:rPr>
      </w:pPr>
      <w:bookmarkStart w:id="12" w:name="_Toc8308233"/>
      <w:bookmarkStart w:id="13" w:name="_Toc8300419"/>
      <w:bookmarkStart w:id="14" w:name="_Toc14267527"/>
      <w:bookmarkStart w:id="15" w:name="_Toc8307326"/>
      <w:r>
        <w:rPr>
          <w:rFonts w:hint="eastAsia" w:cs="Times New Roman" w:asciiTheme="minorEastAsia" w:hAnsiTheme="minorEastAsia"/>
          <w:color w:val="000000"/>
          <w:sz w:val="24"/>
          <w:szCs w:val="24"/>
          <w:lang w:bidi="en-US"/>
        </w:rPr>
        <w:t>（三）毕业论文(设计)[D</w:t>
      </w:r>
      <w:bookmarkEnd w:id="12"/>
      <w:bookmarkEnd w:id="13"/>
      <w:bookmarkEnd w:id="14"/>
      <w:bookmarkEnd w:id="15"/>
      <w:r>
        <w:rPr>
          <w:rFonts w:hint="eastAsia" w:cs="Times New Roman" w:asciiTheme="minorEastAsia" w:hAnsiTheme="minorEastAsia"/>
          <w:color w:val="000000"/>
          <w:sz w:val="24"/>
          <w:szCs w:val="24"/>
          <w:lang w:bidi="en-US"/>
        </w:rPr>
        <w:t>]：[序号]作者．论文名[D]．学校所在城市：学校名，年份．</w:t>
      </w:r>
    </w:p>
    <w:p w14:paraId="4EA66976">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[1]马欢．人类活动影响下海河流域典型区水循环变化分析[D]．北京：清华大学，2011．</w:t>
      </w:r>
    </w:p>
    <w:p w14:paraId="54B34688">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[2]刘敬雪．诗意地栖居，白贲之美——無印良品设计的美学阐释[D]．长春：东北师范大学，2019．</w:t>
      </w:r>
    </w:p>
    <w:p w14:paraId="70E4A3DC">
      <w:pPr>
        <w:pStyle w:val="31"/>
        <w:spacing w:line="400" w:lineRule="exact"/>
        <w:ind w:firstLine="480" w:firstLineChars="200"/>
        <w:jc w:val="left"/>
        <w:rPr>
          <w:rFonts w:cs="Times New Roman" w:asciiTheme="minorEastAsia" w:hAnsiTheme="minorEastAsia"/>
          <w:color w:val="000000"/>
          <w:sz w:val="24"/>
          <w:szCs w:val="24"/>
          <w:lang w:bidi="en-US"/>
        </w:rPr>
      </w:pPr>
      <w:bookmarkStart w:id="16" w:name="_Toc14267528"/>
      <w:bookmarkStart w:id="17" w:name="_Toc8300420"/>
      <w:bookmarkStart w:id="18" w:name="_Toc8307327"/>
      <w:bookmarkStart w:id="19" w:name="_Toc8308234"/>
      <w:r>
        <w:rPr>
          <w:rFonts w:hint="eastAsia" w:cs="Times New Roman" w:asciiTheme="minorEastAsia" w:hAnsiTheme="minorEastAsia"/>
          <w:color w:val="000000"/>
          <w:sz w:val="24"/>
          <w:szCs w:val="24"/>
          <w:lang w:bidi="en-US"/>
        </w:rPr>
        <w:t>（四）报纸[N</w:t>
      </w:r>
      <w:bookmarkEnd w:id="16"/>
      <w:bookmarkEnd w:id="17"/>
      <w:bookmarkEnd w:id="18"/>
      <w:bookmarkEnd w:id="19"/>
      <w:r>
        <w:rPr>
          <w:rFonts w:hint="eastAsia" w:cs="Times New Roman" w:asciiTheme="minorEastAsia" w:hAnsiTheme="minorEastAsia"/>
          <w:color w:val="000000"/>
          <w:sz w:val="24"/>
          <w:szCs w:val="24"/>
          <w:lang w:bidi="en-US"/>
        </w:rPr>
        <w:t>]：[序号]作者．题名[N]．报刊名，年-月-日(版数)．</w:t>
      </w:r>
    </w:p>
    <w:p w14:paraId="0134F6C4">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[1]丁文详．数字革命与竞争国际化[N]．中国青年报，2000-11-20(15)．</w:t>
      </w:r>
    </w:p>
    <w:p w14:paraId="69C08286">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[2]张田勤．罪犯DNA库与生命论理学计划[N]．大众科技报，2000-11-12(7)．</w:t>
      </w:r>
    </w:p>
    <w:p w14:paraId="4A869D70">
      <w:pPr>
        <w:pStyle w:val="31"/>
        <w:spacing w:line="400" w:lineRule="exact"/>
        <w:ind w:firstLine="480" w:firstLineChars="200"/>
        <w:jc w:val="left"/>
        <w:rPr>
          <w:rFonts w:cs="Times New Roman" w:asciiTheme="minorEastAsia" w:hAnsiTheme="minorEastAsia"/>
          <w:color w:val="000000"/>
          <w:sz w:val="24"/>
          <w:szCs w:val="24"/>
          <w:lang w:bidi="en-US"/>
        </w:rPr>
      </w:pPr>
      <w:bookmarkStart w:id="20" w:name="_Toc8300421"/>
      <w:bookmarkStart w:id="21" w:name="_Toc14267529"/>
      <w:bookmarkStart w:id="22" w:name="_Toc8308235"/>
      <w:bookmarkStart w:id="23" w:name="_Toc8307328"/>
      <w:r>
        <w:rPr>
          <w:rFonts w:hint="eastAsia" w:cs="Times New Roman" w:asciiTheme="minorEastAsia" w:hAnsiTheme="minorEastAsia"/>
          <w:color w:val="000000"/>
          <w:sz w:val="24"/>
          <w:szCs w:val="24"/>
          <w:lang w:bidi="en-US"/>
        </w:rPr>
        <w:t>（五）论文集[C</w:t>
      </w:r>
      <w:bookmarkEnd w:id="20"/>
      <w:bookmarkEnd w:id="21"/>
      <w:bookmarkEnd w:id="22"/>
      <w:bookmarkEnd w:id="23"/>
      <w:r>
        <w:rPr>
          <w:rFonts w:hint="eastAsia" w:cs="Times New Roman" w:asciiTheme="minorEastAsia" w:hAnsiTheme="minorEastAsia"/>
          <w:color w:val="000000"/>
          <w:sz w:val="24"/>
          <w:szCs w:val="24"/>
          <w:lang w:bidi="en-US"/>
        </w:rPr>
        <w:t>]：[序号]著者．论文集名[C]．出版地：出版者，出版年．</w:t>
      </w:r>
    </w:p>
    <w:p w14:paraId="59281A63">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[1]中国社会科学院台湾史研究中心．台湾光复六十五周年暨抗战史实学术研讨会论文集[C]． 北京：九州出版社，2012．</w:t>
      </w:r>
    </w:p>
    <w:p w14:paraId="65640C57">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[2]牛志明，斯温兰德，雷光春．综合湿地管理国际研讨会论文集[C]．北京：海洋出版社，2012．</w:t>
      </w:r>
    </w:p>
    <w:p w14:paraId="11FCAA8A">
      <w:pPr>
        <w:pStyle w:val="31"/>
        <w:spacing w:line="400" w:lineRule="exact"/>
        <w:ind w:firstLine="480" w:firstLineChars="200"/>
        <w:jc w:val="left"/>
        <w:rPr>
          <w:rFonts w:cs="Times New Roman" w:asciiTheme="minorEastAsia" w:hAnsiTheme="minorEastAsia"/>
          <w:color w:val="000000"/>
          <w:sz w:val="24"/>
          <w:szCs w:val="24"/>
          <w:lang w:bidi="en-US"/>
        </w:rPr>
      </w:pPr>
      <w:bookmarkStart w:id="24" w:name="_Toc14267530"/>
      <w:bookmarkStart w:id="25" w:name="_Toc8300422"/>
      <w:bookmarkStart w:id="26" w:name="_Toc8308236"/>
      <w:bookmarkStart w:id="27" w:name="_Toc8307329"/>
      <w:r>
        <w:rPr>
          <w:rFonts w:hint="eastAsia" w:cs="Times New Roman" w:asciiTheme="minorEastAsia" w:hAnsiTheme="minorEastAsia"/>
          <w:color w:val="000000"/>
          <w:sz w:val="24"/>
          <w:szCs w:val="24"/>
          <w:lang w:bidi="en-US"/>
        </w:rPr>
        <w:t>（六）标准文献[S</w:t>
      </w:r>
      <w:bookmarkEnd w:id="24"/>
      <w:bookmarkEnd w:id="25"/>
      <w:bookmarkEnd w:id="26"/>
      <w:bookmarkEnd w:id="27"/>
      <w:r>
        <w:rPr>
          <w:rFonts w:hint="eastAsia" w:cs="Times New Roman" w:asciiTheme="minorEastAsia" w:hAnsiTheme="minorEastAsia"/>
          <w:color w:val="000000"/>
          <w:sz w:val="24"/>
          <w:szCs w:val="24"/>
          <w:lang w:bidi="en-US"/>
        </w:rPr>
        <w:t>]：[序号]标准制定者．标准名：标准号[S]． 出版地：出版者，出版年：页码．</w:t>
      </w:r>
    </w:p>
    <w:p w14:paraId="20ED58D0">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[1]全国信息与文献标准化技术委员会．信息与文献 都柏林核心元数据元素集：GB/T 25100-2010[S]．北京： 中国标准出版社，2010：2-3．</w:t>
      </w:r>
    </w:p>
    <w:p w14:paraId="12398F79">
      <w:pPr>
        <w:pStyle w:val="31"/>
        <w:spacing w:line="400" w:lineRule="exact"/>
        <w:ind w:firstLine="480" w:firstLineChars="200"/>
        <w:jc w:val="left"/>
        <w:rPr>
          <w:rFonts w:cs="Times New Roman" w:asciiTheme="minorEastAsia" w:hAnsiTheme="minorEastAsia"/>
          <w:color w:val="000000"/>
          <w:sz w:val="24"/>
          <w:szCs w:val="24"/>
          <w:lang w:bidi="en-US"/>
        </w:rPr>
      </w:pPr>
      <w:bookmarkStart w:id="28" w:name="_Toc8307330"/>
      <w:bookmarkStart w:id="29" w:name="_Toc14267531"/>
      <w:bookmarkStart w:id="30" w:name="_Toc8308237"/>
      <w:bookmarkStart w:id="31" w:name="_Toc8300423"/>
      <w:r>
        <w:rPr>
          <w:rFonts w:hint="eastAsia" w:cs="Times New Roman" w:asciiTheme="minorEastAsia" w:hAnsiTheme="minorEastAsia"/>
          <w:color w:val="000000"/>
          <w:sz w:val="24"/>
          <w:szCs w:val="24"/>
          <w:lang w:bidi="en-US"/>
        </w:rPr>
        <w:t>（七）专利[P</w:t>
      </w:r>
      <w:bookmarkEnd w:id="28"/>
      <w:bookmarkEnd w:id="29"/>
      <w:bookmarkEnd w:id="30"/>
      <w:bookmarkEnd w:id="31"/>
      <w:r>
        <w:rPr>
          <w:rFonts w:hint="eastAsia" w:cs="Times New Roman" w:asciiTheme="minorEastAsia" w:hAnsiTheme="minorEastAsia"/>
          <w:color w:val="000000"/>
          <w:sz w:val="24"/>
          <w:szCs w:val="24"/>
          <w:lang w:bidi="en-US"/>
        </w:rPr>
        <w:t>]：[序号]专利所有者（申请者）．专利名：专利号[P]．公告日期．</w:t>
      </w:r>
    </w:p>
    <w:p w14:paraId="3B863B94">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[1]张凯军．专利文献轨道火车及高速轨道火车紧急安全制动辅助装置：201220158825.2[P]．2012-04-05．</w:t>
      </w:r>
    </w:p>
    <w:p w14:paraId="74176580">
      <w:pPr>
        <w:pStyle w:val="31"/>
        <w:spacing w:line="400" w:lineRule="exact"/>
        <w:ind w:firstLine="480" w:firstLineChars="200"/>
        <w:jc w:val="left"/>
        <w:rPr>
          <w:rFonts w:cs="Times New Roman" w:asciiTheme="minorEastAsia" w:hAnsiTheme="minorEastAsia"/>
          <w:color w:val="000000"/>
          <w:sz w:val="24"/>
          <w:szCs w:val="24"/>
          <w:lang w:bidi="en-US"/>
        </w:rPr>
      </w:pPr>
      <w:bookmarkStart w:id="32" w:name="_Toc8307331"/>
      <w:bookmarkStart w:id="33" w:name="_Toc14267532"/>
      <w:bookmarkStart w:id="34" w:name="_Toc8300424"/>
      <w:bookmarkStart w:id="35" w:name="_Toc8308238"/>
      <w:r>
        <w:rPr>
          <w:rFonts w:hint="eastAsia" w:cs="Times New Roman" w:asciiTheme="minorEastAsia" w:hAnsiTheme="minorEastAsia"/>
          <w:color w:val="000000"/>
          <w:sz w:val="24"/>
          <w:szCs w:val="24"/>
          <w:lang w:bidi="en-US"/>
        </w:rPr>
        <w:t>（八）档案、法律文件[A]</w:t>
      </w:r>
      <w:bookmarkEnd w:id="32"/>
      <w:bookmarkEnd w:id="33"/>
      <w:bookmarkEnd w:id="34"/>
      <w:bookmarkEnd w:id="35"/>
      <w:r>
        <w:rPr>
          <w:rFonts w:hint="eastAsia" w:cs="Times New Roman" w:asciiTheme="minorEastAsia" w:hAnsiTheme="minorEastAsia"/>
          <w:color w:val="000000"/>
          <w:sz w:val="24"/>
          <w:szCs w:val="24"/>
          <w:lang w:bidi="en-US"/>
        </w:rPr>
        <w:t>：[序号]档案馆名．档案文献[A]．出版地：出版者，出版年．</w:t>
      </w:r>
    </w:p>
    <w:p w14:paraId="5B0ECB52">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[1]中国第一历史档案馆，辽宁省档案馆．中国明朝档案总汇[A]．桂林：广西师范大学出版社，2001．</w:t>
      </w:r>
    </w:p>
    <w:p w14:paraId="7DB87B98">
      <w:pPr>
        <w:pStyle w:val="31"/>
        <w:spacing w:line="400" w:lineRule="exact"/>
        <w:ind w:firstLine="480" w:firstLineChars="200"/>
        <w:jc w:val="left"/>
        <w:rPr>
          <w:rFonts w:cs="Times New Roman" w:asciiTheme="minorEastAsia" w:hAnsiTheme="minorEastAsia"/>
          <w:color w:val="000000"/>
          <w:sz w:val="24"/>
          <w:szCs w:val="24"/>
          <w:lang w:bidi="en-US"/>
        </w:rPr>
      </w:pPr>
      <w:bookmarkStart w:id="36" w:name="_Toc14267533"/>
      <w:bookmarkStart w:id="37" w:name="_Toc8300425"/>
      <w:bookmarkStart w:id="38" w:name="_Toc8308239"/>
      <w:bookmarkStart w:id="39" w:name="_Toc8307332"/>
      <w:r>
        <w:rPr>
          <w:rFonts w:hint="eastAsia" w:cs="Times New Roman" w:asciiTheme="minorEastAsia" w:hAnsiTheme="minorEastAsia"/>
          <w:color w:val="000000"/>
          <w:sz w:val="24"/>
          <w:szCs w:val="24"/>
          <w:lang w:bidi="en-US"/>
        </w:rPr>
        <w:t>（九）报告[R</w:t>
      </w:r>
      <w:bookmarkEnd w:id="36"/>
      <w:bookmarkEnd w:id="37"/>
      <w:bookmarkEnd w:id="38"/>
      <w:bookmarkEnd w:id="39"/>
      <w:r>
        <w:rPr>
          <w:rFonts w:hint="eastAsia" w:cs="Times New Roman" w:asciiTheme="minorEastAsia" w:hAnsiTheme="minorEastAsia"/>
          <w:color w:val="000000"/>
          <w:sz w:val="24"/>
          <w:szCs w:val="24"/>
          <w:lang w:bidi="en-US"/>
        </w:rPr>
        <w:t>]：[序号]主要责任者．题名：其他题名信息[R]．出版地：出版者，出版年份：页码．</w:t>
      </w:r>
    </w:p>
    <w:p w14:paraId="71896E55">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[1]中国互联网络信息中心．第29次中国互联网络发展现状统计报告[R]．北京：社会科学文献出版社，2012：84．</w:t>
      </w:r>
    </w:p>
    <w:p w14:paraId="1BF35C6C">
      <w:pPr>
        <w:pStyle w:val="31"/>
        <w:spacing w:line="400" w:lineRule="exact"/>
        <w:ind w:firstLine="480" w:firstLineChars="200"/>
        <w:jc w:val="left"/>
        <w:rPr>
          <w:rFonts w:cs="Times New Roman" w:asciiTheme="minorEastAsia" w:hAnsiTheme="minorEastAsia"/>
          <w:color w:val="000000"/>
          <w:sz w:val="24"/>
          <w:szCs w:val="24"/>
          <w:lang w:bidi="en-US"/>
        </w:rPr>
      </w:pPr>
      <w:bookmarkStart w:id="40" w:name="_Toc8300426"/>
      <w:bookmarkStart w:id="41" w:name="_Toc8308240"/>
      <w:bookmarkStart w:id="42" w:name="_Toc14267534"/>
      <w:bookmarkStart w:id="43" w:name="_Toc8307333"/>
      <w:r>
        <w:rPr>
          <w:rFonts w:hint="eastAsia" w:cs="Times New Roman" w:asciiTheme="minorEastAsia" w:hAnsiTheme="minorEastAsia"/>
          <w:color w:val="000000"/>
          <w:sz w:val="24"/>
          <w:szCs w:val="24"/>
          <w:lang w:bidi="en-US"/>
        </w:rPr>
        <w:t>（十）专著中的析出文献</w:t>
      </w:r>
      <w:bookmarkEnd w:id="40"/>
      <w:bookmarkEnd w:id="41"/>
      <w:bookmarkEnd w:id="42"/>
      <w:bookmarkEnd w:id="43"/>
      <w:r>
        <w:rPr>
          <w:rFonts w:hint="eastAsia" w:cs="Times New Roman" w:asciiTheme="minorEastAsia" w:hAnsiTheme="minorEastAsia"/>
          <w:color w:val="000000"/>
          <w:sz w:val="24"/>
          <w:szCs w:val="24"/>
          <w:lang w:bidi="en-US"/>
        </w:rPr>
        <w:t>：析出文献指从整个信息资源中析出的具有独立篇名的文献，比如某论文集中的某一篇文章。其格式为：[序号]析出文献主要责任者．析出文献题名[文献类型标识]．专著主要责任者．专著题名：其他信息题名．版本项．出版地：出版者，出版年：析出文献的页码．（注意符号“//”，表示“析出”）</w:t>
      </w:r>
    </w:p>
    <w:p w14:paraId="12345B43">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[1]周易外传：卷5[M]//王夫之．船山全书：第6册．长沙：岳麓书社，2011:1109．</w:t>
      </w:r>
    </w:p>
    <w:p w14:paraId="0292CC71">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[2]马克思．政治经济学批判[M]//马克思，恩格斯．马克思恩格斯全集：第35卷．北京：人民出版社，2013：302．</w:t>
      </w:r>
    </w:p>
    <w:p w14:paraId="24A8A71A">
      <w:pPr>
        <w:pStyle w:val="31"/>
        <w:spacing w:line="400" w:lineRule="exact"/>
        <w:ind w:firstLine="480" w:firstLineChars="200"/>
        <w:jc w:val="left"/>
        <w:rPr>
          <w:rFonts w:cs="Times New Roman" w:asciiTheme="minorEastAsia" w:hAnsiTheme="minorEastAsia"/>
          <w:color w:val="000000"/>
          <w:sz w:val="24"/>
          <w:szCs w:val="24"/>
          <w:lang w:bidi="en-US"/>
        </w:rPr>
      </w:pPr>
      <w:bookmarkStart w:id="44" w:name="_Toc8308241"/>
      <w:bookmarkStart w:id="45" w:name="_Toc14267535"/>
      <w:bookmarkStart w:id="46" w:name="_Toc8307334"/>
      <w:bookmarkStart w:id="47" w:name="_Toc8300427"/>
      <w:r>
        <w:rPr>
          <w:rFonts w:hint="eastAsia" w:cs="Times New Roman" w:asciiTheme="minorEastAsia" w:hAnsiTheme="minorEastAsia"/>
          <w:color w:val="000000"/>
          <w:sz w:val="24"/>
          <w:szCs w:val="24"/>
          <w:lang w:bidi="en-US"/>
        </w:rPr>
        <w:t>（十一）网络资源</w:t>
      </w:r>
      <w:bookmarkEnd w:id="44"/>
      <w:bookmarkEnd w:id="45"/>
      <w:bookmarkEnd w:id="46"/>
      <w:bookmarkEnd w:id="47"/>
      <w:r>
        <w:rPr>
          <w:rFonts w:hint="eastAsia" w:cs="Times New Roman" w:asciiTheme="minorEastAsia" w:hAnsiTheme="minorEastAsia"/>
          <w:color w:val="000000"/>
          <w:sz w:val="24"/>
          <w:szCs w:val="24"/>
          <w:lang w:bidi="en-US"/>
        </w:rPr>
        <w:t>：[序号]主要责任者．题名：其他题名信息</w:t>
      </w:r>
      <w:r>
        <w:rPr>
          <w:rFonts w:cs="Times New Roman" w:asciiTheme="minorEastAsia" w:hAnsiTheme="minorEastAsia"/>
          <w:color w:val="000000"/>
          <w:sz w:val="24"/>
          <w:szCs w:val="24"/>
          <w:lang w:bidi="en-US"/>
        </w:rPr>
        <w:t>[EB/OL]</w:t>
      </w:r>
      <w:r>
        <w:rPr>
          <w:rFonts w:hint="eastAsia" w:cs="Times New Roman" w:asciiTheme="minorEastAsia" w:hAnsiTheme="minorEastAsia"/>
          <w:color w:val="000000"/>
          <w:sz w:val="24"/>
          <w:szCs w:val="24"/>
          <w:lang w:bidi="en-US"/>
        </w:rPr>
        <w:t>．（更新日期）[引用日期]．获取和访问路径．数字对象唯一标识符．</w:t>
      </w:r>
    </w:p>
    <w:p w14:paraId="02662146">
      <w:pPr>
        <w:pStyle w:val="31"/>
        <w:spacing w:line="400" w:lineRule="exact"/>
        <w:ind w:firstLine="480" w:firstLineChars="200"/>
        <w:jc w:val="left"/>
        <w:rPr>
          <w:rFonts w:cs="Times New Roman" w:asciiTheme="minorEastAsia" w:hAnsiTheme="minorEastAsia"/>
          <w:color w:val="000000"/>
          <w:sz w:val="24"/>
          <w:szCs w:val="24"/>
          <w:lang w:bidi="en-US"/>
        </w:rPr>
      </w:pPr>
      <w:r>
        <w:rPr>
          <w:rFonts w:hint="eastAsia" w:cs="Times New Roman" w:asciiTheme="minorEastAsia" w:hAnsiTheme="minorEastAsia"/>
          <w:color w:val="000000"/>
          <w:sz w:val="24"/>
          <w:szCs w:val="24"/>
          <w:lang w:bidi="en-US"/>
        </w:rPr>
        <w:t>[1]国务院学位委员会，教育部．博士硕士毕业设计(论文)抽检办法</w:t>
      </w:r>
      <w:r>
        <w:rPr>
          <w:rFonts w:cs="Times New Roman" w:asciiTheme="minorEastAsia" w:hAnsiTheme="minorEastAsia"/>
          <w:color w:val="000000"/>
          <w:sz w:val="24"/>
          <w:szCs w:val="24"/>
          <w:lang w:bidi="en-US"/>
        </w:rPr>
        <w:t>[EB/OL]．(2014-01-29)．http://www.moe.gov.cn/srcsite/A22/s7065/201402/t20140212_165556.html</w:t>
      </w:r>
      <w:r>
        <w:rPr>
          <w:rFonts w:hint="eastAsia" w:cs="Times New Roman" w:asciiTheme="minorEastAsia" w:hAnsiTheme="minorEastAsia"/>
          <w:color w:val="000000"/>
          <w:sz w:val="24"/>
          <w:szCs w:val="24"/>
          <w:lang w:bidi="en-US"/>
        </w:rPr>
        <w:t>.</w:t>
      </w:r>
    </w:p>
    <w:p w14:paraId="79389AE4">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13.</w:t>
      </w:r>
      <w:r>
        <w:rPr>
          <w:rFonts w:hint="eastAsia" w:cs="Times New Roman" w:asciiTheme="minorEastAsia" w:hAnsiTheme="minorEastAsia"/>
          <w:color w:val="000000"/>
          <w:sz w:val="24"/>
          <w:szCs w:val="24"/>
          <w:lang w:val="zh-TW" w:eastAsia="zh-TW" w:bidi="en-US"/>
        </w:rPr>
        <w:t>页眉页脚：</w:t>
      </w:r>
      <w:r>
        <w:rPr>
          <w:rFonts w:hint="eastAsia" w:cs="Times New Roman" w:asciiTheme="minorEastAsia" w:hAnsiTheme="minorEastAsia"/>
          <w:color w:val="000000"/>
          <w:sz w:val="24"/>
          <w:szCs w:val="24"/>
          <w:lang w:val="zh-TW" w:bidi="en-US"/>
        </w:rPr>
        <w:t>从</w:t>
      </w:r>
      <w:r>
        <w:rPr>
          <w:rFonts w:hint="eastAsia" w:cs="Times New Roman" w:asciiTheme="minorEastAsia" w:hAnsiTheme="minorEastAsia"/>
          <w:color w:val="000000"/>
          <w:sz w:val="24"/>
          <w:szCs w:val="24"/>
          <w:lang w:bidi="en-US"/>
        </w:rPr>
        <w:t>论文前置部分摘要开始设置页眉，页脚插入页码，用</w:t>
      </w:r>
      <w:r>
        <w:rPr>
          <w:rFonts w:hint="eastAsia" w:cs="Times New Roman" w:asciiTheme="minorEastAsia" w:hAnsiTheme="minorEastAsia"/>
          <w:color w:val="000000"/>
          <w:sz w:val="24"/>
          <w:szCs w:val="24"/>
          <w:lang w:val="zh-TW" w:eastAsia="zh-TW" w:bidi="en-US"/>
        </w:rPr>
        <w:t>大写罗马数字（Ⅰ，Ⅱ，Ⅲ，……）编排</w:t>
      </w:r>
      <w:r>
        <w:rPr>
          <w:rFonts w:hint="eastAsia" w:cs="Times New Roman" w:asciiTheme="minorEastAsia" w:hAnsiTheme="minorEastAsia"/>
          <w:color w:val="000000"/>
          <w:sz w:val="24"/>
          <w:szCs w:val="24"/>
          <w:lang w:val="zh-TW" w:bidi="en-US"/>
        </w:rPr>
        <w:t>；</w:t>
      </w:r>
      <w:r>
        <w:rPr>
          <w:rFonts w:hint="eastAsia" w:cs="Times New Roman" w:asciiTheme="minorEastAsia" w:hAnsiTheme="minorEastAsia"/>
          <w:color w:val="000000"/>
          <w:sz w:val="24"/>
          <w:szCs w:val="24"/>
          <w:lang w:val="zh-TW" w:eastAsia="zh-TW" w:bidi="en-US"/>
        </w:rPr>
        <w:t>页眉为“</w:t>
      </w:r>
      <w:r>
        <w:rPr>
          <w:rFonts w:hint="eastAsia" w:cs="Times New Roman" w:asciiTheme="minorEastAsia" w:hAnsiTheme="minorEastAsia"/>
          <w:color w:val="000000"/>
          <w:sz w:val="24"/>
          <w:szCs w:val="24"/>
          <w:lang w:bidi="en-US"/>
        </w:rPr>
        <w:t>电子科技</w:t>
      </w:r>
      <w:r>
        <w:rPr>
          <w:rFonts w:hint="eastAsia" w:cs="Times New Roman" w:asciiTheme="minorEastAsia" w:hAnsiTheme="minorEastAsia"/>
          <w:color w:val="000000"/>
          <w:sz w:val="24"/>
          <w:szCs w:val="24"/>
          <w:lang w:val="zh-TW" w:eastAsia="zh-TW" w:bidi="en-US"/>
        </w:rPr>
        <w:t>大学</w:t>
      </w:r>
      <w:r>
        <w:rPr>
          <w:rFonts w:hint="eastAsia" w:cs="Times New Roman" w:asciiTheme="minorEastAsia" w:hAnsiTheme="minorEastAsia"/>
          <w:color w:val="000000"/>
          <w:sz w:val="24"/>
          <w:szCs w:val="24"/>
          <w:lang w:val="zh-TW" w:bidi="en-US"/>
        </w:rPr>
        <w:t>中山学院毕业论文(设计)</w:t>
      </w:r>
      <w:r>
        <w:rPr>
          <w:rFonts w:hint="eastAsia" w:cs="Times New Roman" w:asciiTheme="minorEastAsia" w:hAnsiTheme="minorEastAsia"/>
          <w:color w:val="000000"/>
          <w:sz w:val="24"/>
          <w:szCs w:val="24"/>
          <w:lang w:val="zh-TW" w:eastAsia="zh-TW" w:bidi="en-US"/>
        </w:rPr>
        <w:t>”。页眉</w:t>
      </w:r>
      <w:r>
        <w:rPr>
          <w:rFonts w:hint="eastAsia" w:cs="Times New Roman" w:asciiTheme="minorEastAsia" w:hAnsiTheme="minorEastAsia"/>
          <w:color w:val="000000"/>
          <w:sz w:val="24"/>
          <w:szCs w:val="24"/>
          <w:lang w:eastAsia="zh-TW" w:bidi="en-US"/>
        </w:rPr>
        <w:t>中文宋体</w:t>
      </w:r>
      <w:r>
        <w:rPr>
          <w:rFonts w:hint="eastAsia" w:cs="Times New Roman" w:asciiTheme="minorEastAsia" w:hAnsiTheme="minorEastAsia"/>
          <w:color w:val="000000"/>
          <w:sz w:val="24"/>
          <w:szCs w:val="24"/>
          <w:lang w:val="zh-TW" w:eastAsia="zh-TW" w:bidi="en-US"/>
        </w:rPr>
        <w:t>，西文Times New Roman，</w:t>
      </w:r>
      <w:r>
        <w:rPr>
          <w:rFonts w:hint="eastAsia" w:cs="Times New Roman" w:asciiTheme="minorEastAsia" w:hAnsiTheme="minorEastAsia"/>
          <w:color w:val="000000"/>
          <w:sz w:val="24"/>
          <w:szCs w:val="24"/>
          <w:lang w:eastAsia="zh-TW" w:bidi="en-US"/>
        </w:rPr>
        <w:t>五号</w:t>
      </w:r>
      <w:r>
        <w:rPr>
          <w:rFonts w:hint="eastAsia" w:cs="Times New Roman" w:asciiTheme="minorEastAsia" w:hAnsiTheme="minorEastAsia"/>
          <w:color w:val="000000"/>
          <w:sz w:val="24"/>
          <w:szCs w:val="24"/>
          <w:lang w:val="zh-TW" w:eastAsia="zh-TW" w:bidi="en-US"/>
        </w:rPr>
        <w:t>，居中。正文部分</w:t>
      </w:r>
      <w:r>
        <w:rPr>
          <w:rFonts w:hint="eastAsia" w:cs="Times New Roman" w:asciiTheme="minorEastAsia" w:hAnsiTheme="minorEastAsia"/>
          <w:color w:val="000000"/>
          <w:sz w:val="24"/>
          <w:szCs w:val="24"/>
          <w:lang w:eastAsia="zh-TW" w:bidi="en-US"/>
        </w:rPr>
        <w:t>页码</w:t>
      </w:r>
      <w:r>
        <w:rPr>
          <w:rFonts w:hint="eastAsia" w:cs="Times New Roman" w:asciiTheme="minorEastAsia" w:hAnsiTheme="minorEastAsia"/>
          <w:color w:val="000000"/>
          <w:sz w:val="24"/>
          <w:szCs w:val="24"/>
          <w:lang w:val="zh-TW" w:eastAsia="zh-TW" w:bidi="en-US"/>
        </w:rPr>
        <w:t>按阿拉伯数字（1，2，3，……）重新开始编号。页码位于页面底端</w:t>
      </w:r>
      <w:r>
        <w:rPr>
          <w:rFonts w:hint="eastAsia" w:cs="Times New Roman" w:asciiTheme="minorEastAsia" w:hAnsiTheme="minorEastAsia"/>
          <w:color w:val="000000"/>
          <w:sz w:val="24"/>
          <w:szCs w:val="24"/>
          <w:lang w:eastAsia="zh-TW" w:bidi="en-US"/>
        </w:rPr>
        <w:t>居中</w:t>
      </w:r>
      <w:r>
        <w:rPr>
          <w:rFonts w:hint="eastAsia" w:cs="Times New Roman" w:asciiTheme="minorEastAsia" w:hAnsiTheme="minorEastAsia"/>
          <w:color w:val="000000"/>
          <w:sz w:val="24"/>
          <w:szCs w:val="24"/>
          <w:lang w:val="zh-TW" w:eastAsia="zh-TW" w:bidi="en-US"/>
        </w:rPr>
        <w:t>，采用小五号 Times New Roman书写。页码数字两侧不要加“-”等修饰线。</w:t>
      </w:r>
    </w:p>
    <w:p w14:paraId="0F8B8126">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14.</w:t>
      </w:r>
      <w:r>
        <w:rPr>
          <w:rFonts w:hint="eastAsia" w:cs="Times New Roman" w:asciiTheme="minorEastAsia" w:hAnsiTheme="minorEastAsia"/>
          <w:color w:val="000000"/>
          <w:sz w:val="24"/>
          <w:szCs w:val="24"/>
          <w:lang w:val="zh-TW" w:eastAsia="zh-TW" w:bidi="en-US"/>
        </w:rPr>
        <w:t>所有</w:t>
      </w:r>
      <w:r>
        <w:rPr>
          <w:rFonts w:hint="eastAsia" w:cs="Times New Roman" w:asciiTheme="minorEastAsia" w:hAnsiTheme="minorEastAsia"/>
          <w:color w:val="000000"/>
          <w:sz w:val="24"/>
          <w:szCs w:val="24"/>
          <w:lang w:bidi="en-US"/>
        </w:rPr>
        <w:t>未明确要求的</w:t>
      </w:r>
      <w:r>
        <w:rPr>
          <w:rFonts w:hint="eastAsia" w:cs="Times New Roman" w:asciiTheme="minorEastAsia" w:hAnsiTheme="minorEastAsia"/>
          <w:color w:val="000000"/>
          <w:sz w:val="24"/>
          <w:szCs w:val="24"/>
          <w:lang w:val="zh-TW" w:eastAsia="zh-TW" w:bidi="en-US"/>
        </w:rPr>
        <w:t>英文字母、阿拉伯数字和半角标点符号默认用Times New Roman字体。</w:t>
      </w:r>
    </w:p>
    <w:p w14:paraId="5F7B60B2">
      <w:pPr>
        <w:pStyle w:val="31"/>
        <w:spacing w:line="400" w:lineRule="exact"/>
        <w:ind w:firstLine="480" w:firstLineChars="200"/>
        <w:jc w:val="left"/>
        <w:rPr>
          <w:rFonts w:cs="Times New Roman" w:asciiTheme="minorEastAsia" w:hAnsiTheme="minorEastAsia"/>
          <w:color w:val="000000"/>
          <w:sz w:val="24"/>
          <w:szCs w:val="24"/>
          <w:lang w:val="zh-TW" w:eastAsia="zh-TW" w:bidi="en-US"/>
        </w:rPr>
      </w:pPr>
      <w:r>
        <w:rPr>
          <w:rFonts w:hint="eastAsia" w:cs="Times New Roman" w:asciiTheme="minorEastAsia" w:hAnsiTheme="minorEastAsia"/>
          <w:color w:val="000000"/>
          <w:sz w:val="24"/>
          <w:szCs w:val="24"/>
          <w:lang w:bidi="en-US"/>
        </w:rPr>
        <w:t>15.页面设置：页边距设置为上下3厘米，左右3厘米，装订线位置左侧，装订线0厘米。页眉边距2厘米，页脚边距2厘米。</w:t>
      </w:r>
    </w:p>
    <w:p w14:paraId="78618136">
      <w:pPr>
        <w:pStyle w:val="3"/>
        <w:spacing w:before="0" w:after="0" w:line="400" w:lineRule="exact"/>
        <w:jc w:val="left"/>
        <w:rPr>
          <w:rFonts w:ascii="黑体" w:hAnsi="黑体"/>
          <w:sz w:val="24"/>
          <w:szCs w:val="24"/>
        </w:rPr>
      </w:pPr>
      <w:r>
        <w:rPr>
          <w:rFonts w:hint="eastAsia" w:ascii="黑体" w:hAnsi="黑体"/>
          <w:sz w:val="24"/>
          <w:szCs w:val="24"/>
        </w:rPr>
        <w:t>三、打印、装订要求</w:t>
      </w:r>
    </w:p>
    <w:p w14:paraId="686A43C5">
      <w:pPr>
        <w:pStyle w:val="31"/>
        <w:spacing w:line="400" w:lineRule="exact"/>
        <w:ind w:firstLine="480" w:firstLineChars="200"/>
        <w:jc w:val="left"/>
        <w:rPr>
          <w:rFonts w:cs="Times New Roman" w:asciiTheme="minorEastAsia" w:hAnsiTheme="minorEastAsia"/>
          <w:color w:val="000000"/>
          <w:sz w:val="24"/>
          <w:szCs w:val="24"/>
          <w:lang w:val="zh-TW" w:bidi="en-US"/>
        </w:rPr>
      </w:pPr>
      <w:r>
        <w:rPr>
          <w:rFonts w:hint="eastAsia" w:cs="Times New Roman" w:asciiTheme="minorEastAsia" w:hAnsiTheme="minorEastAsia"/>
          <w:color w:val="000000"/>
          <w:sz w:val="24"/>
          <w:szCs w:val="24"/>
          <w:lang w:val="zh-TW" w:eastAsia="zh-TW" w:bidi="en-US"/>
        </w:rPr>
        <w:t>1．论文一律采用计算机编辑，为便于装订与复制，一律使用A4纸居中打印</w:t>
      </w:r>
      <w:r>
        <w:rPr>
          <w:rFonts w:hint="eastAsia" w:cs="Times New Roman" w:asciiTheme="minorEastAsia" w:hAnsiTheme="minorEastAsia"/>
          <w:color w:val="000000"/>
          <w:sz w:val="24"/>
          <w:szCs w:val="24"/>
          <w:lang w:val="zh-TW" w:bidi="en-US"/>
        </w:rPr>
        <w:t>。</w:t>
      </w:r>
    </w:p>
    <w:p w14:paraId="68DFB3F0">
      <w:pPr>
        <w:pStyle w:val="31"/>
        <w:spacing w:line="400" w:lineRule="exact"/>
        <w:ind w:firstLine="480" w:firstLineChars="200"/>
        <w:jc w:val="left"/>
        <w:rPr>
          <w:rFonts w:cs="Times New Roman" w:asciiTheme="minorEastAsia" w:hAnsiTheme="minorEastAsia"/>
          <w:sz w:val="24"/>
          <w:szCs w:val="24"/>
          <w:lang w:val="zh-TW" w:eastAsia="zh-TW" w:bidi="en-US"/>
        </w:rPr>
      </w:pPr>
      <w:r>
        <w:rPr>
          <w:rFonts w:hint="eastAsia" w:cs="Times New Roman" w:asciiTheme="minorEastAsia" w:hAnsiTheme="minorEastAsia"/>
          <w:color w:val="000000"/>
          <w:sz w:val="24"/>
          <w:szCs w:val="24"/>
          <w:lang w:val="zh-TW" w:eastAsia="zh-TW" w:bidi="en-US"/>
        </w:rPr>
        <w:t>2．论文封面、中文摘要、英文摘要、目录：单面打印；论文正文、结束语、谢辞、</w:t>
      </w:r>
      <w:r>
        <w:rPr>
          <w:rFonts w:hint="eastAsia" w:cs="Times New Roman" w:asciiTheme="minorEastAsia" w:hAnsiTheme="minorEastAsia"/>
          <w:sz w:val="24"/>
          <w:szCs w:val="24"/>
          <w:lang w:val="zh-TW" w:eastAsia="zh-TW" w:bidi="en-US"/>
        </w:rPr>
        <w:t>参考文献：双面打印；</w:t>
      </w:r>
      <w:r>
        <w:rPr>
          <w:rFonts w:hint="eastAsia" w:cs="Times New Roman" w:asciiTheme="minorEastAsia" w:hAnsiTheme="minorEastAsia"/>
          <w:sz w:val="24"/>
          <w:szCs w:val="24"/>
          <w:lang w:val="zh-TW" w:bidi="en-US"/>
        </w:rPr>
        <w:t>论文每个部分都要另起一页。</w:t>
      </w:r>
    </w:p>
    <w:p w14:paraId="5E294B90">
      <w:pPr>
        <w:pStyle w:val="31"/>
        <w:spacing w:line="400" w:lineRule="exact"/>
        <w:ind w:firstLine="480" w:firstLineChars="200"/>
        <w:jc w:val="left"/>
        <w:rPr>
          <w:rFonts w:cs="Times New Roman" w:asciiTheme="minorEastAsia" w:hAnsiTheme="minorEastAsia"/>
          <w:sz w:val="24"/>
          <w:szCs w:val="24"/>
          <w:lang w:val="zh-TW" w:eastAsia="zh-TW" w:bidi="en-US"/>
        </w:rPr>
      </w:pPr>
      <w:r>
        <w:rPr>
          <w:rFonts w:hint="eastAsia" w:cs="Times New Roman" w:asciiTheme="minorEastAsia" w:hAnsiTheme="minorEastAsia"/>
          <w:sz w:val="24"/>
          <w:szCs w:val="24"/>
          <w:lang w:val="zh-TW" w:bidi="en-US"/>
        </w:rPr>
        <w:t>3</w:t>
      </w:r>
      <w:r>
        <w:rPr>
          <w:rFonts w:hint="eastAsia" w:cs="Times New Roman" w:asciiTheme="minorEastAsia" w:hAnsiTheme="minorEastAsia"/>
          <w:sz w:val="24"/>
          <w:szCs w:val="24"/>
          <w:lang w:val="zh-TW" w:eastAsia="zh-TW" w:bidi="en-US"/>
        </w:rPr>
        <w:t>.毕业论文(设计)装订顺序：封面→中文摘要→英文摘要→目录→正文→结束语→谢辞→参考文献。</w:t>
      </w:r>
    </w:p>
    <w:p w14:paraId="46FCC44A">
      <w:pPr>
        <w:pStyle w:val="31"/>
        <w:spacing w:line="400" w:lineRule="exact"/>
        <w:ind w:firstLine="480" w:firstLineChars="200"/>
        <w:jc w:val="left"/>
        <w:rPr>
          <w:rFonts w:cs="Times New Roman" w:asciiTheme="minorEastAsia" w:hAnsiTheme="minorEastAsia"/>
          <w:sz w:val="24"/>
          <w:szCs w:val="24"/>
          <w:lang w:val="zh-TW" w:eastAsia="zh-TW" w:bidi="en-US"/>
        </w:rPr>
      </w:pPr>
    </w:p>
    <w:sectPr>
      <w:footerReference r:id="rId5" w:type="default"/>
      <w:footnotePr>
        <w:numFmt w:val="decimalEnclosedCircleChinese"/>
        <w:numRestart w:val="eachPage"/>
      </w:footnotePr>
      <w:pgSz w:w="11906" w:h="16838"/>
      <w:pgMar w:top="1134" w:right="1418" w:bottom="1134" w:left="1418" w:header="851" w:footer="992" w:gutter="0"/>
      <w:pgNumType w:start="1"/>
      <w:cols w:space="0"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Palatino Linotype">
    <w:panose1 w:val="02040502050505030304"/>
    <w:charset w:val="00"/>
    <w:family w:val="roman"/>
    <w:pitch w:val="default"/>
    <w:sig w:usb0="E00002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50B5B">
    <w:pPr>
      <w:pStyle w:val="12"/>
      <w:spacing w:before="0" w:line="240" w:lineRule="auto"/>
      <w:jc w:val="center"/>
      <w:rPr>
        <w:sz w:val="24"/>
      </w:rPr>
    </w:pPr>
    <w:r>
      <w:rPr>
        <w:rFonts w:ascii="宋体" w:hAnsi="宋体"/>
        <w:sz w:val="21"/>
      </w:rPr>
      <w:fldChar w:fldCharType="begin"/>
    </w:r>
    <w:r>
      <w:rPr>
        <w:rFonts w:ascii="宋体" w:hAnsi="宋体"/>
        <w:sz w:val="21"/>
      </w:rPr>
      <w:instrText xml:space="preserve">PAGE   \* MERGEFORMAT</w:instrText>
    </w:r>
    <w:r>
      <w:rPr>
        <w:rFonts w:ascii="宋体" w:hAnsi="宋体"/>
        <w:sz w:val="21"/>
      </w:rPr>
      <w:fldChar w:fldCharType="separate"/>
    </w:r>
    <w:r>
      <w:rPr>
        <w:rFonts w:ascii="宋体" w:hAnsi="宋体"/>
        <w:sz w:val="21"/>
        <w:lang w:val="zh-CN"/>
      </w:rPr>
      <w:t>5</w:t>
    </w:r>
    <w:r>
      <w:rPr>
        <w:rFonts w:ascii="宋体" w:hAnsi="宋体"/>
        <w:sz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00" w:lineRule="auto"/>
      </w:pPr>
      <w:r>
        <w:separator/>
      </w:r>
    </w:p>
  </w:footnote>
  <w:footnote w:type="continuationSeparator" w:id="1">
    <w:p>
      <w:pPr>
        <w:spacing w:line="30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noPunctuationKerning w:val="1"/>
  <w:characterSpacingControl w:val="compressPunctuation"/>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mFlMzZjYWVlZjIyMWNlMmExNWNlZWM1NzE1OTY3MGYifQ=="/>
  </w:docVars>
  <w:rsids>
    <w:rsidRoot w:val="08891DBC"/>
    <w:rsid w:val="000136B0"/>
    <w:rsid w:val="0004260B"/>
    <w:rsid w:val="000430A5"/>
    <w:rsid w:val="000559BF"/>
    <w:rsid w:val="00075C8D"/>
    <w:rsid w:val="00095319"/>
    <w:rsid w:val="000E1A2E"/>
    <w:rsid w:val="00140467"/>
    <w:rsid w:val="00221FE8"/>
    <w:rsid w:val="002E334B"/>
    <w:rsid w:val="002F58EE"/>
    <w:rsid w:val="0030005F"/>
    <w:rsid w:val="00307314"/>
    <w:rsid w:val="00345798"/>
    <w:rsid w:val="00393716"/>
    <w:rsid w:val="004470A5"/>
    <w:rsid w:val="00464E5D"/>
    <w:rsid w:val="004D509B"/>
    <w:rsid w:val="0053143F"/>
    <w:rsid w:val="00570201"/>
    <w:rsid w:val="00584303"/>
    <w:rsid w:val="0059464F"/>
    <w:rsid w:val="005C48F2"/>
    <w:rsid w:val="00643D31"/>
    <w:rsid w:val="006A79BC"/>
    <w:rsid w:val="006F76C1"/>
    <w:rsid w:val="0078773A"/>
    <w:rsid w:val="007B3E6F"/>
    <w:rsid w:val="00802199"/>
    <w:rsid w:val="0081531C"/>
    <w:rsid w:val="00952D66"/>
    <w:rsid w:val="00964D73"/>
    <w:rsid w:val="0097724F"/>
    <w:rsid w:val="009F4661"/>
    <w:rsid w:val="00A158DF"/>
    <w:rsid w:val="00A22305"/>
    <w:rsid w:val="00A23708"/>
    <w:rsid w:val="00A47830"/>
    <w:rsid w:val="00AA3341"/>
    <w:rsid w:val="00AD796F"/>
    <w:rsid w:val="00AE0B8B"/>
    <w:rsid w:val="00B754A5"/>
    <w:rsid w:val="00BF4475"/>
    <w:rsid w:val="00C103AA"/>
    <w:rsid w:val="00C349C4"/>
    <w:rsid w:val="00C45414"/>
    <w:rsid w:val="00C637C4"/>
    <w:rsid w:val="00C73AB9"/>
    <w:rsid w:val="00C74222"/>
    <w:rsid w:val="00CB661B"/>
    <w:rsid w:val="00CF3EFB"/>
    <w:rsid w:val="00D142E7"/>
    <w:rsid w:val="00E614EB"/>
    <w:rsid w:val="00E840ED"/>
    <w:rsid w:val="00E84411"/>
    <w:rsid w:val="00EE352D"/>
    <w:rsid w:val="00F12E92"/>
    <w:rsid w:val="00F16610"/>
    <w:rsid w:val="00F90B83"/>
    <w:rsid w:val="00FA5181"/>
    <w:rsid w:val="00FE43A2"/>
    <w:rsid w:val="00FF12A3"/>
    <w:rsid w:val="01225A6C"/>
    <w:rsid w:val="01236E07"/>
    <w:rsid w:val="013B2D9D"/>
    <w:rsid w:val="01D946EA"/>
    <w:rsid w:val="02A236CE"/>
    <w:rsid w:val="038D237F"/>
    <w:rsid w:val="0563090D"/>
    <w:rsid w:val="05686D69"/>
    <w:rsid w:val="05975D57"/>
    <w:rsid w:val="06873B70"/>
    <w:rsid w:val="06E00786"/>
    <w:rsid w:val="07105FD0"/>
    <w:rsid w:val="07936B9A"/>
    <w:rsid w:val="08891DBC"/>
    <w:rsid w:val="08C75B28"/>
    <w:rsid w:val="08E50388"/>
    <w:rsid w:val="094534F5"/>
    <w:rsid w:val="095075AC"/>
    <w:rsid w:val="09603A0F"/>
    <w:rsid w:val="099C6D01"/>
    <w:rsid w:val="09F47CB2"/>
    <w:rsid w:val="09FC7AC2"/>
    <w:rsid w:val="0A403B3F"/>
    <w:rsid w:val="0B7723CD"/>
    <w:rsid w:val="0BCC4DC3"/>
    <w:rsid w:val="0BDD6B7F"/>
    <w:rsid w:val="0C10503C"/>
    <w:rsid w:val="0C2817C4"/>
    <w:rsid w:val="0DB01C1C"/>
    <w:rsid w:val="0DB60BCD"/>
    <w:rsid w:val="0DD73972"/>
    <w:rsid w:val="0F715BF7"/>
    <w:rsid w:val="10D534E9"/>
    <w:rsid w:val="11006E3E"/>
    <w:rsid w:val="110739E9"/>
    <w:rsid w:val="11B52C76"/>
    <w:rsid w:val="11E02B27"/>
    <w:rsid w:val="12125624"/>
    <w:rsid w:val="12336970"/>
    <w:rsid w:val="12467473"/>
    <w:rsid w:val="12841955"/>
    <w:rsid w:val="13893C35"/>
    <w:rsid w:val="13BC48E0"/>
    <w:rsid w:val="13E350A7"/>
    <w:rsid w:val="14897096"/>
    <w:rsid w:val="17954A0F"/>
    <w:rsid w:val="17A0584D"/>
    <w:rsid w:val="17E03FA1"/>
    <w:rsid w:val="18274B2F"/>
    <w:rsid w:val="18600A95"/>
    <w:rsid w:val="18807BC9"/>
    <w:rsid w:val="191D2573"/>
    <w:rsid w:val="197B0E2E"/>
    <w:rsid w:val="19C269E0"/>
    <w:rsid w:val="1A131C1D"/>
    <w:rsid w:val="1A29043E"/>
    <w:rsid w:val="1A293A7B"/>
    <w:rsid w:val="1A675C27"/>
    <w:rsid w:val="1A915566"/>
    <w:rsid w:val="1B231E83"/>
    <w:rsid w:val="1B7B3CE9"/>
    <w:rsid w:val="1B9F19C4"/>
    <w:rsid w:val="1BD662E9"/>
    <w:rsid w:val="1CED280C"/>
    <w:rsid w:val="1D9C7884"/>
    <w:rsid w:val="1E0C0AAF"/>
    <w:rsid w:val="1E0F127A"/>
    <w:rsid w:val="1EC41FC5"/>
    <w:rsid w:val="1F7E563E"/>
    <w:rsid w:val="20163318"/>
    <w:rsid w:val="20BE30CA"/>
    <w:rsid w:val="20D01E38"/>
    <w:rsid w:val="20DA1F54"/>
    <w:rsid w:val="2178536B"/>
    <w:rsid w:val="219728EC"/>
    <w:rsid w:val="21C91BB0"/>
    <w:rsid w:val="228E5B22"/>
    <w:rsid w:val="22CF57E3"/>
    <w:rsid w:val="237E624C"/>
    <w:rsid w:val="23BC1567"/>
    <w:rsid w:val="2400326A"/>
    <w:rsid w:val="24B460BC"/>
    <w:rsid w:val="26116F88"/>
    <w:rsid w:val="261A18BA"/>
    <w:rsid w:val="262359BA"/>
    <w:rsid w:val="28C20D45"/>
    <w:rsid w:val="299C6AF4"/>
    <w:rsid w:val="29BB230D"/>
    <w:rsid w:val="29CD0509"/>
    <w:rsid w:val="2AA56B39"/>
    <w:rsid w:val="2AE41C3B"/>
    <w:rsid w:val="2BDE69A1"/>
    <w:rsid w:val="2C92782B"/>
    <w:rsid w:val="2D062EE7"/>
    <w:rsid w:val="2D137222"/>
    <w:rsid w:val="2D404F0C"/>
    <w:rsid w:val="2F281D90"/>
    <w:rsid w:val="300A35B2"/>
    <w:rsid w:val="312D1C4B"/>
    <w:rsid w:val="318C6613"/>
    <w:rsid w:val="32063C03"/>
    <w:rsid w:val="320E27A4"/>
    <w:rsid w:val="327A7B59"/>
    <w:rsid w:val="33542CD7"/>
    <w:rsid w:val="33756E66"/>
    <w:rsid w:val="342D2AE9"/>
    <w:rsid w:val="34874C34"/>
    <w:rsid w:val="349A13A6"/>
    <w:rsid w:val="34AE30A3"/>
    <w:rsid w:val="34EC3AC9"/>
    <w:rsid w:val="35975D5E"/>
    <w:rsid w:val="35FC2617"/>
    <w:rsid w:val="364D1A9A"/>
    <w:rsid w:val="365A18A7"/>
    <w:rsid w:val="36E52E17"/>
    <w:rsid w:val="3795376D"/>
    <w:rsid w:val="37AF1A83"/>
    <w:rsid w:val="37B242D6"/>
    <w:rsid w:val="37DD09A7"/>
    <w:rsid w:val="389438E7"/>
    <w:rsid w:val="38CB4E00"/>
    <w:rsid w:val="390B79EC"/>
    <w:rsid w:val="39345382"/>
    <w:rsid w:val="394455FD"/>
    <w:rsid w:val="395E0EC9"/>
    <w:rsid w:val="39E142BF"/>
    <w:rsid w:val="3A1054D1"/>
    <w:rsid w:val="3BBC3A1A"/>
    <w:rsid w:val="3C500742"/>
    <w:rsid w:val="3CD214C6"/>
    <w:rsid w:val="3E7E6F07"/>
    <w:rsid w:val="3EDB1E4C"/>
    <w:rsid w:val="3F695DAF"/>
    <w:rsid w:val="3FF12894"/>
    <w:rsid w:val="3FFD562F"/>
    <w:rsid w:val="40157098"/>
    <w:rsid w:val="40295D4D"/>
    <w:rsid w:val="41874B06"/>
    <w:rsid w:val="4260302C"/>
    <w:rsid w:val="434D12D6"/>
    <w:rsid w:val="438C074A"/>
    <w:rsid w:val="43D36964"/>
    <w:rsid w:val="444412C1"/>
    <w:rsid w:val="446A07AB"/>
    <w:rsid w:val="44C2522C"/>
    <w:rsid w:val="44F128E8"/>
    <w:rsid w:val="4574179F"/>
    <w:rsid w:val="46B778E5"/>
    <w:rsid w:val="4710364F"/>
    <w:rsid w:val="47D97FDF"/>
    <w:rsid w:val="494D2873"/>
    <w:rsid w:val="49FC771F"/>
    <w:rsid w:val="4A1C3D93"/>
    <w:rsid w:val="4A47297B"/>
    <w:rsid w:val="4B3138FA"/>
    <w:rsid w:val="4BC77067"/>
    <w:rsid w:val="4C406D64"/>
    <w:rsid w:val="4D376883"/>
    <w:rsid w:val="4D646092"/>
    <w:rsid w:val="4E053E83"/>
    <w:rsid w:val="4EB31D6C"/>
    <w:rsid w:val="4EEE24C0"/>
    <w:rsid w:val="4EFF50EA"/>
    <w:rsid w:val="4F002290"/>
    <w:rsid w:val="4F4E215F"/>
    <w:rsid w:val="4F656FB6"/>
    <w:rsid w:val="4F7F23FB"/>
    <w:rsid w:val="50232028"/>
    <w:rsid w:val="50347B81"/>
    <w:rsid w:val="508B1B5B"/>
    <w:rsid w:val="50CE26AB"/>
    <w:rsid w:val="514C658D"/>
    <w:rsid w:val="51E371A7"/>
    <w:rsid w:val="52D63FBF"/>
    <w:rsid w:val="53690469"/>
    <w:rsid w:val="53AA6546"/>
    <w:rsid w:val="53DA09C5"/>
    <w:rsid w:val="543656E7"/>
    <w:rsid w:val="54A15554"/>
    <w:rsid w:val="54BA59C2"/>
    <w:rsid w:val="55165188"/>
    <w:rsid w:val="55B46B53"/>
    <w:rsid w:val="55D32512"/>
    <w:rsid w:val="55F27BBB"/>
    <w:rsid w:val="562337F9"/>
    <w:rsid w:val="56297121"/>
    <w:rsid w:val="5866766D"/>
    <w:rsid w:val="593754D8"/>
    <w:rsid w:val="59A0728C"/>
    <w:rsid w:val="59F7768F"/>
    <w:rsid w:val="5A01481F"/>
    <w:rsid w:val="5A692D6F"/>
    <w:rsid w:val="5AA71349"/>
    <w:rsid w:val="5ADA501F"/>
    <w:rsid w:val="5B4E4298"/>
    <w:rsid w:val="5B714447"/>
    <w:rsid w:val="5BB5721E"/>
    <w:rsid w:val="5BC457B6"/>
    <w:rsid w:val="5BF51F15"/>
    <w:rsid w:val="5C886908"/>
    <w:rsid w:val="5D3C6BEF"/>
    <w:rsid w:val="5DC1180F"/>
    <w:rsid w:val="5DE30FCE"/>
    <w:rsid w:val="5EE80E07"/>
    <w:rsid w:val="5EFD3A1A"/>
    <w:rsid w:val="5F332A99"/>
    <w:rsid w:val="5F700A93"/>
    <w:rsid w:val="5F963CBB"/>
    <w:rsid w:val="5FCB7018"/>
    <w:rsid w:val="5FE643A2"/>
    <w:rsid w:val="60195EB6"/>
    <w:rsid w:val="60917251"/>
    <w:rsid w:val="61BE2F9F"/>
    <w:rsid w:val="633E3D47"/>
    <w:rsid w:val="6404502E"/>
    <w:rsid w:val="644D4F55"/>
    <w:rsid w:val="64F27091"/>
    <w:rsid w:val="65053FDE"/>
    <w:rsid w:val="660E4771"/>
    <w:rsid w:val="66245C72"/>
    <w:rsid w:val="663822EB"/>
    <w:rsid w:val="675A0D15"/>
    <w:rsid w:val="67B80747"/>
    <w:rsid w:val="683928CD"/>
    <w:rsid w:val="6897300C"/>
    <w:rsid w:val="6B743585"/>
    <w:rsid w:val="6B913993"/>
    <w:rsid w:val="6C880886"/>
    <w:rsid w:val="6D150952"/>
    <w:rsid w:val="6D764FE7"/>
    <w:rsid w:val="6D7E0E32"/>
    <w:rsid w:val="6D921935"/>
    <w:rsid w:val="6E24609E"/>
    <w:rsid w:val="6E8A2774"/>
    <w:rsid w:val="6E9701BA"/>
    <w:rsid w:val="6F7C16C0"/>
    <w:rsid w:val="6FF435C8"/>
    <w:rsid w:val="70341D4D"/>
    <w:rsid w:val="70713CB0"/>
    <w:rsid w:val="714E6851"/>
    <w:rsid w:val="716D2642"/>
    <w:rsid w:val="72600001"/>
    <w:rsid w:val="72F27AD0"/>
    <w:rsid w:val="72FA6075"/>
    <w:rsid w:val="73160077"/>
    <w:rsid w:val="73207476"/>
    <w:rsid w:val="73673676"/>
    <w:rsid w:val="73CC75FC"/>
    <w:rsid w:val="745F683D"/>
    <w:rsid w:val="74D35F1A"/>
    <w:rsid w:val="75481A38"/>
    <w:rsid w:val="755F48DD"/>
    <w:rsid w:val="757B15A1"/>
    <w:rsid w:val="76095679"/>
    <w:rsid w:val="765A4E09"/>
    <w:rsid w:val="767C70F8"/>
    <w:rsid w:val="76B94B55"/>
    <w:rsid w:val="77397710"/>
    <w:rsid w:val="77D93560"/>
    <w:rsid w:val="7848695E"/>
    <w:rsid w:val="78511A1E"/>
    <w:rsid w:val="791D4002"/>
    <w:rsid w:val="799B0BC9"/>
    <w:rsid w:val="7A543209"/>
    <w:rsid w:val="7A7F26A6"/>
    <w:rsid w:val="7A8C2B0C"/>
    <w:rsid w:val="7C387DA7"/>
    <w:rsid w:val="7C630087"/>
    <w:rsid w:val="7C9E4AE3"/>
    <w:rsid w:val="7D6B45B9"/>
    <w:rsid w:val="7F217E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2"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00" w:lineRule="auto"/>
      <w:jc w:val="both"/>
    </w:pPr>
    <w:rPr>
      <w:rFonts w:ascii="Times New Roman" w:hAnsi="Times New Roman" w:eastAsiaTheme="minorEastAsia" w:cstheme="minorBidi"/>
      <w:kern w:val="2"/>
      <w:sz w:val="24"/>
      <w:szCs w:val="24"/>
      <w:lang w:val="en-US" w:eastAsia="zh-CN" w:bidi="ar-SA"/>
    </w:rPr>
  </w:style>
  <w:style w:type="paragraph" w:styleId="3">
    <w:name w:val="heading 1"/>
    <w:basedOn w:val="1"/>
    <w:next w:val="1"/>
    <w:qFormat/>
    <w:uiPriority w:val="0"/>
    <w:pPr>
      <w:keepNext/>
      <w:keepLines/>
      <w:tabs>
        <w:tab w:val="left" w:pos="377"/>
      </w:tabs>
      <w:spacing w:before="960" w:after="480" w:line="360" w:lineRule="auto"/>
      <w:jc w:val="center"/>
      <w:outlineLvl w:val="0"/>
    </w:pPr>
    <w:rPr>
      <w:rFonts w:eastAsia="黑体"/>
      <w:bCs/>
      <w:kern w:val="44"/>
      <w:sz w:val="32"/>
      <w:szCs w:val="30"/>
    </w:rPr>
  </w:style>
  <w:style w:type="paragraph" w:styleId="4">
    <w:name w:val="heading 2"/>
    <w:basedOn w:val="1"/>
    <w:next w:val="1"/>
    <w:qFormat/>
    <w:uiPriority w:val="0"/>
    <w:pPr>
      <w:keepNext/>
      <w:keepLines/>
      <w:spacing w:beforeLines="50"/>
      <w:outlineLvl w:val="1"/>
    </w:pPr>
    <w:rPr>
      <w:rFonts w:eastAsia="黑体"/>
      <w:bCs/>
      <w:sz w:val="28"/>
      <w:szCs w:val="28"/>
    </w:rPr>
  </w:style>
  <w:style w:type="paragraph" w:styleId="2">
    <w:name w:val="heading 3"/>
    <w:basedOn w:val="1"/>
    <w:next w:val="1"/>
    <w:link w:val="29"/>
    <w:qFormat/>
    <w:uiPriority w:val="2"/>
    <w:pPr>
      <w:keepNext/>
      <w:jc w:val="center"/>
      <w:outlineLvl w:val="2"/>
    </w:pPr>
    <w:rPr>
      <w:sz w:val="30"/>
    </w:rPr>
  </w:style>
  <w:style w:type="paragraph" w:styleId="5">
    <w:name w:val="heading 4"/>
    <w:basedOn w:val="1"/>
    <w:next w:val="1"/>
    <w:link w:val="28"/>
    <w:unhideWhenUsed/>
    <w:qFormat/>
    <w:uiPriority w:val="0"/>
    <w:pPr>
      <w:keepNext/>
      <w:keepLines/>
      <w:spacing w:line="360" w:lineRule="auto"/>
      <w:outlineLvl w:val="3"/>
    </w:pPr>
    <w:rPr>
      <w:rFonts w:asciiTheme="majorHAnsi" w:hAnsiTheme="majorHAnsi" w:cstheme="majorBidi"/>
      <w:bCs/>
      <w:szCs w:val="28"/>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qFormat/>
    <w:uiPriority w:val="0"/>
    <w:pPr>
      <w:tabs>
        <w:tab w:val="left" w:pos="377"/>
      </w:tabs>
      <w:jc w:val="left"/>
    </w:pPr>
  </w:style>
  <w:style w:type="paragraph" w:styleId="7">
    <w:name w:val="Body Text Indent"/>
    <w:basedOn w:val="1"/>
    <w:qFormat/>
    <w:uiPriority w:val="0"/>
    <w:pPr>
      <w:ind w:firstLine="420" w:firstLineChars="200"/>
    </w:pPr>
    <w:rPr>
      <w:rFonts w:ascii="宋体"/>
    </w:rPr>
  </w:style>
  <w:style w:type="paragraph" w:styleId="8">
    <w:name w:val="toc 3"/>
    <w:basedOn w:val="1"/>
    <w:next w:val="1"/>
    <w:qFormat/>
    <w:uiPriority w:val="39"/>
    <w:pPr>
      <w:tabs>
        <w:tab w:val="right" w:leader="dot" w:pos="9060"/>
      </w:tabs>
      <w:ind w:left="480" w:leftChars="200"/>
    </w:pPr>
  </w:style>
  <w:style w:type="paragraph" w:styleId="9">
    <w:name w:val="Date"/>
    <w:basedOn w:val="1"/>
    <w:next w:val="1"/>
    <w:qFormat/>
    <w:uiPriority w:val="0"/>
    <w:rPr>
      <w:szCs w:val="20"/>
    </w:rPr>
  </w:style>
  <w:style w:type="paragraph" w:styleId="10">
    <w:name w:val="Body Text Indent 2"/>
    <w:basedOn w:val="1"/>
    <w:qFormat/>
    <w:uiPriority w:val="0"/>
    <w:pPr>
      <w:ind w:firstLine="420" w:firstLineChars="200"/>
    </w:pPr>
    <w:rPr>
      <w:color w:val="FF0000"/>
      <w:szCs w:val="20"/>
    </w:rPr>
  </w:style>
  <w:style w:type="paragraph" w:styleId="11">
    <w:name w:val="Balloon Text"/>
    <w:basedOn w:val="1"/>
    <w:link w:val="25"/>
    <w:qFormat/>
    <w:uiPriority w:val="0"/>
    <w:rPr>
      <w:sz w:val="18"/>
      <w:szCs w:val="18"/>
    </w:rPr>
  </w:style>
  <w:style w:type="paragraph" w:styleId="12">
    <w:name w:val="footer"/>
    <w:basedOn w:val="1"/>
    <w:qFormat/>
    <w:uiPriority w:val="0"/>
    <w:pPr>
      <w:tabs>
        <w:tab w:val="center" w:pos="4153"/>
        <w:tab w:val="right" w:pos="8306"/>
      </w:tabs>
      <w:spacing w:before="600" w:line="180" w:lineRule="atLeast"/>
      <w:jc w:val="left"/>
    </w:pPr>
    <w:rPr>
      <w:sz w:val="18"/>
      <w:szCs w:val="18"/>
    </w:rPr>
  </w:style>
  <w:style w:type="paragraph" w:styleId="13">
    <w:name w:val="header"/>
    <w:basedOn w:val="1"/>
    <w:qFormat/>
    <w:uiPriority w:val="0"/>
    <w:pPr>
      <w:keepLines/>
      <w:widowControl/>
      <w:pBdr>
        <w:bottom w:val="single" w:color="auto" w:sz="6" w:space="1"/>
      </w:pBdr>
      <w:tabs>
        <w:tab w:val="center" w:pos="4153"/>
        <w:tab w:val="right" w:pos="8306"/>
      </w:tabs>
      <w:snapToGrid w:val="0"/>
      <w:spacing w:after="600" w:line="180" w:lineRule="atLeast"/>
      <w:jc w:val="center"/>
    </w:pPr>
    <w:rPr>
      <w:spacing w:val="-5"/>
      <w:kern w:val="0"/>
      <w:sz w:val="21"/>
      <w:szCs w:val="21"/>
    </w:rPr>
  </w:style>
  <w:style w:type="paragraph" w:styleId="14">
    <w:name w:val="toc 1"/>
    <w:basedOn w:val="1"/>
    <w:next w:val="1"/>
    <w:qFormat/>
    <w:uiPriority w:val="39"/>
  </w:style>
  <w:style w:type="paragraph" w:styleId="15">
    <w:name w:val="footnote text"/>
    <w:basedOn w:val="1"/>
    <w:qFormat/>
    <w:uiPriority w:val="0"/>
    <w:pPr>
      <w:tabs>
        <w:tab w:val="left" w:pos="377"/>
      </w:tabs>
      <w:snapToGrid w:val="0"/>
      <w:jc w:val="left"/>
    </w:pPr>
    <w:rPr>
      <w:sz w:val="18"/>
    </w:rPr>
  </w:style>
  <w:style w:type="paragraph" w:styleId="16">
    <w:name w:val="Body Text Indent 3"/>
    <w:basedOn w:val="1"/>
    <w:qFormat/>
    <w:uiPriority w:val="0"/>
    <w:pPr>
      <w:ind w:firstLine="432"/>
    </w:pPr>
    <w:rPr>
      <w:rFonts w:ascii="宋体"/>
    </w:rPr>
  </w:style>
  <w:style w:type="paragraph" w:styleId="17">
    <w:name w:val="toc 2"/>
    <w:basedOn w:val="1"/>
    <w:next w:val="1"/>
    <w:qFormat/>
    <w:uiPriority w:val="39"/>
    <w:pPr>
      <w:tabs>
        <w:tab w:val="right" w:leader="dot" w:pos="9060"/>
      </w:tabs>
      <w:ind w:left="240" w:leftChars="100"/>
    </w:pPr>
  </w:style>
  <w:style w:type="paragraph" w:styleId="18">
    <w:name w:val="Body Text 2"/>
    <w:qFormat/>
    <w:uiPriority w:val="0"/>
    <w:pPr>
      <w:widowControl w:val="0"/>
      <w:spacing w:line="300" w:lineRule="auto"/>
      <w:jc w:val="both"/>
    </w:pPr>
    <w:rPr>
      <w:rFonts w:ascii="宋体" w:hAnsi="Times New Roman" w:eastAsia="宋体" w:cs="Times New Roman"/>
      <w:bCs/>
      <w:kern w:val="2"/>
      <w:sz w:val="24"/>
      <w:szCs w:val="24"/>
      <w:lang w:val="en-US" w:eastAsia="zh-CN" w:bidi="ar-SA"/>
    </w:rPr>
  </w:style>
  <w:style w:type="paragraph" w:styleId="19">
    <w:name w:val="Normal (Web)"/>
    <w:basedOn w:val="1"/>
    <w:qFormat/>
    <w:uiPriority w:val="99"/>
    <w:pPr>
      <w:spacing w:beforeAutospacing="1" w:afterAutospacing="1"/>
      <w:jc w:val="left"/>
    </w:pPr>
    <w:rPr>
      <w:rFonts w:cs="Times New Roman"/>
      <w:kern w:val="0"/>
    </w:rPr>
  </w:style>
  <w:style w:type="table" w:styleId="21">
    <w:name w:val="Table Grid"/>
    <w:basedOn w:val="2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Hyperlink"/>
    <w:basedOn w:val="22"/>
    <w:unhideWhenUsed/>
    <w:qFormat/>
    <w:uiPriority w:val="99"/>
    <w:rPr>
      <w:color w:val="0563C1" w:themeColor="hyperlink"/>
      <w:u w:val="single"/>
    </w:rPr>
  </w:style>
  <w:style w:type="character" w:styleId="24">
    <w:name w:val="footnote reference"/>
    <w:basedOn w:val="22"/>
    <w:qFormat/>
    <w:uiPriority w:val="0"/>
    <w:rPr>
      <w:vertAlign w:val="superscript"/>
    </w:rPr>
  </w:style>
  <w:style w:type="character" w:customStyle="1" w:styleId="25">
    <w:name w:val="批注框文本 Char"/>
    <w:basedOn w:val="22"/>
    <w:link w:val="11"/>
    <w:qFormat/>
    <w:uiPriority w:val="0"/>
    <w:rPr>
      <w:kern w:val="2"/>
      <w:sz w:val="18"/>
      <w:szCs w:val="18"/>
    </w:rPr>
  </w:style>
  <w:style w:type="paragraph" w:customStyle="1" w:styleId="26">
    <w:name w:val="MDPI_5.1_figure_caption"/>
    <w:basedOn w:val="1"/>
    <w:qFormat/>
    <w:uiPriority w:val="0"/>
    <w:pPr>
      <w:widowControl/>
      <w:tabs>
        <w:tab w:val="left" w:pos="377"/>
      </w:tabs>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 w:type="paragraph" w:customStyle="1" w:styleId="27">
    <w:name w:val="标题3"/>
    <w:basedOn w:val="2"/>
    <w:link w:val="30"/>
    <w:qFormat/>
    <w:uiPriority w:val="0"/>
    <w:pPr>
      <w:tabs>
        <w:tab w:val="left" w:pos="377"/>
      </w:tabs>
      <w:jc w:val="both"/>
    </w:pPr>
    <w:rPr>
      <w:rFonts w:ascii="宋体" w:hAnsi="宋体" w:eastAsia="宋体" w:cs="宋体"/>
      <w:b/>
      <w:bCs/>
      <w:sz w:val="24"/>
    </w:rPr>
  </w:style>
  <w:style w:type="character" w:customStyle="1" w:styleId="28">
    <w:name w:val="标题 4 Char"/>
    <w:basedOn w:val="22"/>
    <w:link w:val="5"/>
    <w:qFormat/>
    <w:uiPriority w:val="0"/>
    <w:rPr>
      <w:rFonts w:asciiTheme="majorHAnsi" w:hAnsiTheme="majorHAnsi" w:eastAsiaTheme="minorEastAsia" w:cstheme="majorBidi"/>
      <w:bCs/>
      <w:kern w:val="2"/>
      <w:sz w:val="24"/>
      <w:szCs w:val="28"/>
    </w:rPr>
  </w:style>
  <w:style w:type="character" w:customStyle="1" w:styleId="29">
    <w:name w:val="标题 3 Char"/>
    <w:basedOn w:val="22"/>
    <w:link w:val="2"/>
    <w:qFormat/>
    <w:uiPriority w:val="2"/>
    <w:rPr>
      <w:rFonts w:asciiTheme="minorHAnsi" w:hAnsiTheme="minorHAnsi" w:eastAsiaTheme="minorEastAsia" w:cstheme="minorBidi"/>
      <w:kern w:val="2"/>
      <w:sz w:val="30"/>
      <w:szCs w:val="24"/>
    </w:rPr>
  </w:style>
  <w:style w:type="character" w:customStyle="1" w:styleId="30">
    <w:name w:val="标题3 字符"/>
    <w:basedOn w:val="29"/>
    <w:link w:val="27"/>
    <w:qFormat/>
    <w:uiPriority w:val="0"/>
    <w:rPr>
      <w:rFonts w:ascii="宋体" w:hAnsi="宋体" w:cs="宋体" w:eastAsiaTheme="minorEastAsia"/>
      <w:b/>
      <w:bCs/>
      <w:kern w:val="2"/>
      <w:sz w:val="24"/>
      <w:szCs w:val="24"/>
    </w:rPr>
  </w:style>
  <w:style w:type="paragraph" w:customStyle="1" w:styleId="31">
    <w:name w:val="Body text|2"/>
    <w:basedOn w:val="1"/>
    <w:qFormat/>
    <w:uiPriority w:val="0"/>
    <w:pPr>
      <w:spacing w:line="338" w:lineRule="auto"/>
      <w:ind w:firstLine="380"/>
    </w:pPr>
    <w:rPr>
      <w:sz w:val="20"/>
      <w:szCs w:val="20"/>
    </w:rPr>
  </w:style>
  <w:style w:type="paragraph" w:customStyle="1" w:styleId="32">
    <w:name w:val="Body text|1"/>
    <w:basedOn w:val="1"/>
    <w:qFormat/>
    <w:uiPriority w:val="0"/>
    <w:pPr>
      <w:spacing w:line="379" w:lineRule="auto"/>
      <w:ind w:firstLine="380"/>
    </w:pPr>
    <w:rPr>
      <w:rFonts w:ascii="宋体" w:hAnsi="宋体" w:eastAsia="宋体" w:cs="宋体"/>
      <w:sz w:val="17"/>
      <w:szCs w:val="17"/>
      <w:lang w:val="zh-TW" w:eastAsia="zh-TW" w:bidi="zh-TW"/>
    </w:rPr>
  </w:style>
  <w:style w:type="paragraph" w:customStyle="1" w:styleId="33">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1B93B-3418-4EA7-88D2-E1149BED3930}">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5277</Words>
  <Characters>6016</Characters>
  <Lines>43</Lines>
  <Paragraphs>12</Paragraphs>
  <TotalTime>171</TotalTime>
  <ScaleCrop>false</ScaleCrop>
  <LinksUpToDate>false</LinksUpToDate>
  <CharactersWithSpaces>6077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2022-09-22T02:13:00Z</dcterms:created>
  <dc:creator>张群</dc:creator>
  <cp:lastModifiedBy>周海燕</cp:lastModifiedBy>
  <cp:lastPrinted>2021-12-27T02:49:00Z</cp:lastPrinted>
  <dcterms:modified xsi:type="dcterms:W3CDTF">2025-11-03T09:26:23Z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2176EC2BBB244E648BFB7DAE54366B34</vt:lpwstr>
  </property>
  <property fmtid="{D5CDD505-2E9C-101B-9397-08002B2CF9AE}" pid="4" name="KSOTemplateDocerSaveRecord">
    <vt:lpwstr>eyJoZGlkIjoiMTkxYzQxOTVkODA3NmM5NWJlMTRmMTM0MDI2MmE3YmIiLCJ1c2VySWQiOiI0NTIxNTI1MzEifQ==</vt:lpwstr>
  </property>
</Properties>
</file>